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169" w:right="0" w:firstLine="0"/>
        <w:jc w:val="left"/>
        <w:rPr>
          <w:b/>
          <w:sz w:val="22"/>
        </w:rPr>
      </w:pPr>
      <w:r>
        <w:rPr/>
        <w:pict>
          <v:rect style="position:absolute;margin-left:72.5pt;margin-top:21.973633pt;width:449.55pt;height: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22"/>
        </w:rPr>
        <w:t>INTERNATIONAL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CONFERENCE </w:t>
      </w:r>
      <w:r>
        <w:rPr>
          <w:b/>
          <w:spacing w:val="-1"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LANGUAGE,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EDUCATION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TOURISM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2023</w:t>
      </w: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551" w:right="451" w:firstLine="0"/>
        <w:jc w:val="center"/>
        <w:rPr>
          <w:b/>
          <w:i/>
          <w:sz w:val="28"/>
        </w:rPr>
      </w:pPr>
      <w:r>
        <w:rPr>
          <w:b/>
          <w:sz w:val="28"/>
        </w:rPr>
        <w:t>TAJUK: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Template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untuk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abstrak</w:t>
      </w:r>
      <w:r>
        <w:rPr>
          <w:b/>
          <w:spacing w:val="28"/>
          <w:sz w:val="28"/>
        </w:rPr>
        <w:t> </w:t>
      </w:r>
      <w:r>
        <w:rPr>
          <w:b/>
          <w:i/>
          <w:sz w:val="28"/>
        </w:rPr>
        <w:t>(Font</w:t>
      </w:r>
      <w:r>
        <w:rPr>
          <w:b/>
          <w:i/>
          <w:spacing w:val="20"/>
          <w:sz w:val="28"/>
        </w:rPr>
        <w:t> </w:t>
      </w:r>
      <w:r>
        <w:rPr>
          <w:b/>
          <w:i/>
          <w:sz w:val="28"/>
        </w:rPr>
        <w:t>14</w:t>
      </w:r>
      <w:r>
        <w:rPr>
          <w:b/>
          <w:i/>
          <w:spacing w:val="26"/>
          <w:sz w:val="28"/>
        </w:rPr>
        <w:t> </w:t>
      </w:r>
      <w:r>
        <w:rPr>
          <w:b/>
          <w:i/>
          <w:sz w:val="28"/>
        </w:rPr>
        <w:t>points,</w:t>
      </w:r>
      <w:r>
        <w:rPr>
          <w:b/>
          <w:i/>
          <w:spacing w:val="19"/>
          <w:sz w:val="28"/>
        </w:rPr>
        <w:t> </w:t>
      </w:r>
      <w:r>
        <w:rPr>
          <w:b/>
          <w:i/>
          <w:sz w:val="28"/>
        </w:rPr>
        <w:t>Calibri,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Bold,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Align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Text</w:t>
      </w:r>
      <w:r>
        <w:rPr>
          <w:b/>
          <w:i/>
          <w:spacing w:val="-60"/>
          <w:sz w:val="28"/>
        </w:rPr>
        <w:t> </w:t>
      </w:r>
      <w:r>
        <w:rPr>
          <w:b/>
          <w:i/>
          <w:sz w:val="28"/>
        </w:rPr>
        <w:t>Centre,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Paragraph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Spacing</w:t>
      </w:r>
      <w:r>
        <w:rPr>
          <w:b/>
          <w:i/>
          <w:spacing w:val="6"/>
          <w:sz w:val="28"/>
        </w:rPr>
        <w:t> </w:t>
      </w:r>
      <w:r>
        <w:rPr>
          <w:b/>
          <w:i/>
          <w:sz w:val="28"/>
        </w:rPr>
        <w:t>1)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spacing w:before="1"/>
        <w:ind w:left="547" w:right="451" w:firstLine="0"/>
        <w:jc w:val="center"/>
        <w:rPr>
          <w:b/>
          <w:i/>
          <w:sz w:val="24"/>
        </w:rPr>
      </w:pPr>
      <w:bookmarkStart w:name="Pengarang*1, Pengarang2 and Pengarang3 (" w:id="1"/>
      <w:bookmarkEnd w:id="1"/>
      <w:r>
        <w:rPr/>
      </w:r>
      <w:r>
        <w:rPr>
          <w:b/>
          <w:spacing w:val="-1"/>
          <w:sz w:val="24"/>
        </w:rPr>
        <w:t>Pengarang*</w:t>
      </w:r>
      <w:r>
        <w:rPr>
          <w:b/>
          <w:spacing w:val="-1"/>
          <w:sz w:val="24"/>
          <w:vertAlign w:val="superscript"/>
        </w:rPr>
        <w:t>1</w:t>
      </w:r>
      <w:r>
        <w:rPr>
          <w:b/>
          <w:spacing w:val="-1"/>
          <w:sz w:val="24"/>
          <w:vertAlign w:val="baseline"/>
        </w:rPr>
        <w:t>,</w:t>
      </w:r>
      <w:r>
        <w:rPr>
          <w:b/>
          <w:spacing w:val="23"/>
          <w:sz w:val="24"/>
          <w:vertAlign w:val="baseline"/>
        </w:rPr>
        <w:t> </w:t>
      </w:r>
      <w:r>
        <w:rPr>
          <w:b/>
          <w:spacing w:val="-1"/>
          <w:sz w:val="24"/>
          <w:vertAlign w:val="baseline"/>
        </w:rPr>
        <w:t>Pengarang</w:t>
      </w:r>
      <w:r>
        <w:rPr>
          <w:b/>
          <w:spacing w:val="-1"/>
          <w:sz w:val="24"/>
          <w:vertAlign w:val="superscript"/>
        </w:rPr>
        <w:t>2</w:t>
      </w:r>
      <w:r>
        <w:rPr>
          <w:b/>
          <w:spacing w:val="-14"/>
          <w:sz w:val="24"/>
          <w:vertAlign w:val="baseline"/>
        </w:rPr>
        <w:t> </w:t>
      </w:r>
      <w:r>
        <w:rPr>
          <w:b/>
          <w:sz w:val="24"/>
          <w:vertAlign w:val="baseline"/>
        </w:rPr>
        <w:t>and</w:t>
      </w:r>
      <w:r>
        <w:rPr>
          <w:b/>
          <w:spacing w:val="23"/>
          <w:sz w:val="24"/>
          <w:vertAlign w:val="baseline"/>
        </w:rPr>
        <w:t> </w:t>
      </w:r>
      <w:r>
        <w:rPr>
          <w:b/>
          <w:sz w:val="24"/>
          <w:vertAlign w:val="baseline"/>
        </w:rPr>
        <w:t>Pengarang</w:t>
      </w:r>
      <w:r>
        <w:rPr>
          <w:b/>
          <w:sz w:val="24"/>
          <w:vertAlign w:val="superscript"/>
        </w:rPr>
        <w:t>3</w:t>
      </w:r>
      <w:r>
        <w:rPr>
          <w:b/>
          <w:spacing w:val="3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(Calibri,</w:t>
      </w:r>
      <w:r>
        <w:rPr>
          <w:b/>
          <w:i/>
          <w:spacing w:val="2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12</w:t>
      </w:r>
      <w:r>
        <w:rPr>
          <w:b/>
          <w:i/>
          <w:spacing w:val="2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points,Bold,</w:t>
      </w:r>
      <w:r>
        <w:rPr>
          <w:b/>
          <w:i/>
          <w:spacing w:val="8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Align</w:t>
      </w:r>
      <w:r>
        <w:rPr>
          <w:b/>
          <w:i/>
          <w:spacing w:val="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Text</w:t>
      </w:r>
      <w:r>
        <w:rPr>
          <w:b/>
          <w:i/>
          <w:spacing w:val="5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Centre)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ind w:left="3481" w:right="3357"/>
        <w:jc w:val="both"/>
      </w:pPr>
      <w:r>
        <w:rPr>
          <w:vertAlign w:val="superscript"/>
        </w:rPr>
        <w:t>1</w:t>
      </w:r>
      <w:r>
        <w:rPr>
          <w:vertAlign w:val="baseline"/>
        </w:rPr>
        <w:t> Nama, Organisasi, Negara</w:t>
      </w:r>
      <w:r>
        <w:rPr>
          <w:spacing w:val="-53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 Nama, Organisasi, Negara</w:t>
      </w:r>
      <w:r>
        <w:rPr>
          <w:spacing w:val="-53"/>
          <w:vertAlign w:val="baseline"/>
        </w:rPr>
        <w:t> </w:t>
      </w:r>
      <w:r>
        <w:rPr>
          <w:vertAlign w:val="superscript"/>
        </w:rPr>
        <w:t>3</w:t>
      </w:r>
      <w:r>
        <w:rPr>
          <w:spacing w:val="-5"/>
          <w:vertAlign w:val="baseline"/>
        </w:rPr>
        <w:t> </w:t>
      </w:r>
      <w:r>
        <w:rPr>
          <w:vertAlign w:val="baseline"/>
        </w:rPr>
        <w:t>Nama,</w:t>
      </w:r>
      <w:r>
        <w:rPr>
          <w:spacing w:val="-7"/>
          <w:vertAlign w:val="baseline"/>
        </w:rPr>
        <w:t> </w:t>
      </w:r>
      <w:r>
        <w:rPr>
          <w:vertAlign w:val="baseline"/>
        </w:rPr>
        <w:t>Organisasi,</w:t>
      </w:r>
      <w:r>
        <w:rPr>
          <w:spacing w:val="-7"/>
          <w:vertAlign w:val="baseline"/>
        </w:rPr>
        <w:t> </w:t>
      </w:r>
      <w:r>
        <w:rPr>
          <w:vertAlign w:val="baseline"/>
        </w:rPr>
        <w:t>Negara</w:t>
      </w:r>
    </w:p>
    <w:p>
      <w:pPr>
        <w:pStyle w:val="BodyText"/>
        <w:spacing w:before="2"/>
      </w:pPr>
    </w:p>
    <w:p>
      <w:pPr>
        <w:pStyle w:val="BodyText"/>
        <w:ind w:left="550" w:right="451"/>
        <w:jc w:val="center"/>
      </w:pPr>
      <w:r>
        <w:rPr/>
        <w:t>*Emel:</w:t>
      </w:r>
      <w:r>
        <w:rPr>
          <w:spacing w:val="-9"/>
        </w:rPr>
        <w:t> </w:t>
      </w:r>
      <w:hyperlink r:id="rId6">
        <w:r>
          <w:rPr>
            <w:color w:val="0562C1"/>
            <w:u w:val="single" w:color="0562C1"/>
          </w:rPr>
          <w:t>namapengarangpertama@aaaa.bbb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220" w:right="98"/>
      </w:pPr>
      <w:r>
        <w:rPr>
          <w:b/>
        </w:rPr>
        <w:t>Keywords:</w:t>
      </w:r>
      <w:r>
        <w:rPr>
          <w:b/>
          <w:spacing w:val="-5"/>
        </w:rPr>
        <w:t> </w:t>
      </w:r>
      <w:r>
        <w:rPr/>
        <w:t>Satu;</w:t>
      </w:r>
      <w:r>
        <w:rPr>
          <w:spacing w:val="-2"/>
        </w:rPr>
        <w:t> </w:t>
      </w:r>
      <w:r>
        <w:rPr/>
        <w:t>Dua;</w:t>
      </w:r>
      <w:r>
        <w:rPr>
          <w:spacing w:val="-2"/>
        </w:rPr>
        <w:t> </w:t>
      </w:r>
      <w:r>
        <w:rPr/>
        <w:t>Tiga;</w:t>
      </w:r>
      <w:r>
        <w:rPr>
          <w:spacing w:val="-5"/>
        </w:rPr>
        <w:t> </w:t>
      </w:r>
      <w:r>
        <w:rPr/>
        <w:t>Empat;</w:t>
      </w:r>
      <w:r>
        <w:rPr>
          <w:spacing w:val="-2"/>
        </w:rPr>
        <w:t> </w:t>
      </w:r>
      <w:r>
        <w:rPr/>
        <w:t>Lima</w:t>
      </w:r>
      <w:r>
        <w:rPr>
          <w:spacing w:val="-1"/>
        </w:rPr>
        <w:t> </w:t>
      </w:r>
      <w:r>
        <w:rPr/>
        <w:t>(maksimum 5</w:t>
      </w:r>
      <w:r>
        <w:rPr>
          <w:spacing w:val="-2"/>
        </w:rPr>
        <w:t> </w:t>
      </w:r>
      <w:r>
        <w:rPr/>
        <w:t>kata kunci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disusun</w:t>
      </w:r>
      <w:r>
        <w:rPr>
          <w:spacing w:val="-2"/>
        </w:rPr>
        <w:t> </w:t>
      </w:r>
      <w:r>
        <w:rPr/>
        <w:t>mengikut</w:t>
      </w:r>
      <w:r>
        <w:rPr>
          <w:spacing w:val="-51"/>
        </w:rPr>
        <w:t> </w:t>
      </w:r>
      <w:r>
        <w:rPr/>
        <w:t>abjad)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220"/>
      </w:pPr>
      <w:bookmarkStart w:name="ABSTRAK" w:id="2"/>
      <w:bookmarkEnd w:id="2"/>
      <w:r>
        <w:rPr>
          <w:b w:val="0"/>
        </w:rPr>
      </w:r>
      <w:r>
        <w:rPr/>
        <w:t>ABSTRAK</w:t>
      </w:r>
    </w:p>
    <w:p>
      <w:pPr>
        <w:pStyle w:val="BodyText"/>
        <w:spacing w:before="2"/>
        <w:rPr>
          <w:b/>
        </w:rPr>
      </w:pPr>
    </w:p>
    <w:p>
      <w:pPr>
        <w:spacing w:line="240" w:lineRule="auto" w:before="0"/>
        <w:ind w:left="119" w:right="116" w:firstLine="0"/>
        <w:jc w:val="both"/>
        <w:rPr>
          <w:sz w:val="22"/>
        </w:rPr>
      </w:pPr>
      <w:r>
        <w:rPr>
          <w:sz w:val="22"/>
        </w:rPr>
        <w:t>Bahagian penulisan kertas kerja mestilah berada dalam perenggan pertama. Perenggan hendaklah</w:t>
      </w:r>
      <w:r>
        <w:rPr>
          <w:spacing w:val="1"/>
          <w:sz w:val="22"/>
        </w:rPr>
        <w:t> </w:t>
      </w:r>
      <w:r>
        <w:rPr>
          <w:sz w:val="22"/>
        </w:rPr>
        <w:t>menggunakan format Calibri, saiz 12, </w:t>
      </w:r>
      <w:r>
        <w:rPr>
          <w:i/>
          <w:sz w:val="22"/>
        </w:rPr>
        <w:t>Justified </w:t>
      </w:r>
      <w:r>
        <w:rPr>
          <w:sz w:val="22"/>
        </w:rPr>
        <w:t>dan setiap perenggan mesti mempunyai 1 selang baris.</w:t>
      </w:r>
      <w:r>
        <w:rPr>
          <w:spacing w:val="1"/>
          <w:sz w:val="22"/>
        </w:rPr>
        <w:t> </w:t>
      </w:r>
      <w:r>
        <w:rPr>
          <w:sz w:val="22"/>
        </w:rPr>
        <w:t>Jidar untuk semua halaman mestilah normal. Tidak dibenarkan untuk mengubah format dan susun atur</w:t>
      </w:r>
      <w:r>
        <w:rPr>
          <w:spacing w:val="-47"/>
          <w:sz w:val="22"/>
        </w:rPr>
        <w:t> </w:t>
      </w:r>
      <w:r>
        <w:rPr>
          <w:sz w:val="22"/>
        </w:rPr>
        <w:t>gaya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disediakan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templat</w:t>
      </w:r>
      <w:r>
        <w:rPr>
          <w:spacing w:val="1"/>
          <w:sz w:val="22"/>
        </w:rPr>
        <w:t> </w:t>
      </w:r>
      <w:r>
        <w:rPr>
          <w:sz w:val="22"/>
        </w:rPr>
        <w:t>ini.</w:t>
      </w:r>
      <w:r>
        <w:rPr>
          <w:spacing w:val="1"/>
          <w:sz w:val="22"/>
        </w:rPr>
        <w:t> </w:t>
      </w:r>
      <w:r>
        <w:rPr>
          <w:sz w:val="22"/>
        </w:rPr>
        <w:t>Jangan</w:t>
      </w:r>
      <w:r>
        <w:rPr>
          <w:spacing w:val="1"/>
          <w:sz w:val="22"/>
        </w:rPr>
        <w:t> </w:t>
      </w:r>
      <w:r>
        <w:rPr>
          <w:sz w:val="22"/>
        </w:rPr>
        <w:t>berikan</w:t>
      </w:r>
      <w:r>
        <w:rPr>
          <w:spacing w:val="1"/>
          <w:sz w:val="22"/>
        </w:rPr>
        <w:t> </w:t>
      </w:r>
      <w:r>
        <w:rPr>
          <w:sz w:val="22"/>
        </w:rPr>
        <w:t>nombor</w:t>
      </w:r>
      <w:r>
        <w:rPr>
          <w:spacing w:val="1"/>
          <w:sz w:val="22"/>
        </w:rPr>
        <w:t> </w:t>
      </w:r>
      <w:r>
        <w:rPr>
          <w:sz w:val="22"/>
        </w:rPr>
        <w:t>halaman,</w:t>
      </w:r>
      <w:r>
        <w:rPr>
          <w:spacing w:val="1"/>
          <w:sz w:val="22"/>
        </w:rPr>
        <w:t> </w:t>
      </w:r>
      <w:r>
        <w:rPr>
          <w:sz w:val="22"/>
        </w:rPr>
        <w:t>kerana</w:t>
      </w:r>
      <w:r>
        <w:rPr>
          <w:spacing w:val="1"/>
          <w:sz w:val="22"/>
        </w:rPr>
        <w:t> </w:t>
      </w:r>
      <w:r>
        <w:rPr>
          <w:sz w:val="22"/>
        </w:rPr>
        <w:t>nombor</w:t>
      </w:r>
      <w:r>
        <w:rPr>
          <w:spacing w:val="1"/>
          <w:sz w:val="22"/>
        </w:rPr>
        <w:t> </w:t>
      </w:r>
      <w:r>
        <w:rPr>
          <w:sz w:val="22"/>
        </w:rPr>
        <w:t>halaman akan diubah suai secara berasingan apabila dicetak nanti. Pastikan jarak setiap perenggan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selang</w:t>
      </w:r>
      <w:r>
        <w:rPr>
          <w:spacing w:val="-1"/>
          <w:sz w:val="22"/>
        </w:rPr>
        <w:t> </w:t>
      </w:r>
      <w:r>
        <w:rPr>
          <w:sz w:val="22"/>
        </w:rPr>
        <w:t>baris.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9" w:right="117" w:firstLine="0"/>
        <w:jc w:val="both"/>
        <w:rPr>
          <w:sz w:val="22"/>
        </w:rPr>
      </w:pPr>
      <w:r>
        <w:rPr>
          <w:sz w:val="22"/>
        </w:rPr>
        <w:t>Bagi perenggan kedua, harus diasingkan mengikut sub-</w:t>
      </w:r>
      <w:r>
        <w:rPr>
          <w:i/>
          <w:sz w:val="22"/>
        </w:rPr>
        <w:t>heading</w:t>
      </w:r>
      <w:r>
        <w:rPr>
          <w:sz w:val="22"/>
        </w:rPr>
        <w:t>, </w:t>
      </w:r>
      <w:r>
        <w:rPr>
          <w:i/>
          <w:sz w:val="22"/>
        </w:rPr>
        <w:t>sub-heading </w:t>
      </w:r>
      <w:r>
        <w:rPr>
          <w:sz w:val="22"/>
        </w:rPr>
        <w:t>kedua atau </w:t>
      </w:r>
      <w:r>
        <w:rPr>
          <w:i/>
          <w:sz w:val="22"/>
        </w:rPr>
        <w:t>sub-heading</w:t>
      </w:r>
      <w:r>
        <w:rPr>
          <w:i/>
          <w:spacing w:val="1"/>
          <w:sz w:val="22"/>
        </w:rPr>
        <w:t> </w:t>
      </w:r>
      <w:r>
        <w:rPr>
          <w:sz w:val="22"/>
        </w:rPr>
        <w:t>seterusnya. Format </w:t>
      </w:r>
      <w:r>
        <w:rPr>
          <w:i/>
          <w:sz w:val="22"/>
        </w:rPr>
        <w:t>heading </w:t>
      </w:r>
      <w:r>
        <w:rPr>
          <w:sz w:val="22"/>
        </w:rPr>
        <w:t>ini haruslah HURUF BESAR, Calibri, saiz 12, Bold, jidar penulisan bermula di</w:t>
      </w:r>
      <w:r>
        <w:rPr>
          <w:spacing w:val="-47"/>
          <w:sz w:val="22"/>
        </w:rPr>
        <w:t> </w:t>
      </w:r>
      <w:r>
        <w:rPr>
          <w:sz w:val="22"/>
        </w:rPr>
        <w:t>kiri, serta 1 selang baris pada setiap perenggan. Bagi heading yang kedua, harus menggunakan huruf</w:t>
      </w:r>
      <w:r>
        <w:rPr>
          <w:spacing w:val="1"/>
          <w:sz w:val="22"/>
        </w:rPr>
        <w:t> </w:t>
      </w:r>
      <w:r>
        <w:rPr>
          <w:sz w:val="22"/>
        </w:rPr>
        <w:t>besar pada setiap pangkal perkataan, format Calibri, saiz 12, Justified, dan setiap perenggan mesti 1</w:t>
      </w:r>
      <w:r>
        <w:rPr>
          <w:spacing w:val="1"/>
          <w:sz w:val="22"/>
        </w:rPr>
        <w:t> </w:t>
      </w:r>
      <w:r>
        <w:rPr>
          <w:sz w:val="22"/>
        </w:rPr>
        <w:t>selang baris di antara setiap </w:t>
      </w:r>
      <w:r>
        <w:rPr>
          <w:i/>
          <w:sz w:val="22"/>
        </w:rPr>
        <w:t>heading utama</w:t>
      </w:r>
      <w:r>
        <w:rPr>
          <w:sz w:val="22"/>
        </w:rPr>
        <w:t>. Tinggalkan 2 baris dengan jarak perenggan 1 selang baris</w:t>
      </w:r>
      <w:r>
        <w:rPr>
          <w:spacing w:val="1"/>
          <w:sz w:val="22"/>
        </w:rPr>
        <w:t> </w:t>
      </w:r>
      <w:r>
        <w:rPr>
          <w:sz w:val="22"/>
        </w:rPr>
        <w:t>(di antara setiap tajuk kecil dan </w:t>
      </w:r>
      <w:r>
        <w:rPr>
          <w:i/>
          <w:sz w:val="22"/>
        </w:rPr>
        <w:t>heading </w:t>
      </w:r>
      <w:r>
        <w:rPr>
          <w:sz w:val="22"/>
        </w:rPr>
        <w:t>utama). Tinggalkan 1 baris dengan jarak perenggan 1 selang</w:t>
      </w:r>
      <w:r>
        <w:rPr>
          <w:spacing w:val="1"/>
          <w:sz w:val="22"/>
        </w:rPr>
        <w:t> </w:t>
      </w:r>
      <w:r>
        <w:rPr>
          <w:sz w:val="22"/>
        </w:rPr>
        <w:t>baris</w:t>
      </w:r>
      <w:r>
        <w:rPr>
          <w:spacing w:val="-1"/>
          <w:sz w:val="22"/>
        </w:rPr>
        <w:t> </w:t>
      </w:r>
      <w:r>
        <w:rPr>
          <w:sz w:val="22"/>
        </w:rPr>
        <w:t>(di</w:t>
      </w:r>
      <w:r>
        <w:rPr>
          <w:spacing w:val="-3"/>
          <w:sz w:val="22"/>
        </w:rPr>
        <w:t> </w:t>
      </w:r>
      <w:r>
        <w:rPr>
          <w:sz w:val="22"/>
        </w:rPr>
        <w:t>antara</w:t>
      </w:r>
      <w:r>
        <w:rPr>
          <w:spacing w:val="-1"/>
          <w:sz w:val="22"/>
        </w:rPr>
        <w:t> </w:t>
      </w:r>
      <w:r>
        <w:rPr>
          <w:sz w:val="22"/>
        </w:rPr>
        <w:t>setiap</w:t>
      </w:r>
      <w:r>
        <w:rPr>
          <w:spacing w:val="-1"/>
          <w:sz w:val="22"/>
        </w:rPr>
        <w:t> </w:t>
      </w:r>
      <w:r>
        <w:rPr>
          <w:sz w:val="22"/>
        </w:rPr>
        <w:t>tajuk</w:t>
      </w:r>
      <w:r>
        <w:rPr>
          <w:spacing w:val="-2"/>
          <w:sz w:val="22"/>
        </w:rPr>
        <w:t> </w:t>
      </w:r>
      <w:r>
        <w:rPr>
          <w:sz w:val="22"/>
        </w:rPr>
        <w:t>kecil</w:t>
      </w:r>
      <w:r>
        <w:rPr>
          <w:spacing w:val="-4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i/>
          <w:sz w:val="22"/>
        </w:rPr>
        <w:t>sub-heading</w:t>
      </w:r>
      <w:r>
        <w:rPr>
          <w:i/>
          <w:spacing w:val="2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kedua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seterusnya)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ind w:left="220"/>
      </w:pPr>
      <w:bookmarkStart w:name="KAJIAN LITERATUR" w:id="3"/>
      <w:bookmarkEnd w:id="3"/>
      <w:r>
        <w:rPr>
          <w:b w:val="0"/>
        </w:rPr>
      </w:r>
      <w:r>
        <w:rPr/>
        <w:t>KAJIAN</w:t>
      </w:r>
      <w:r>
        <w:rPr>
          <w:spacing w:val="-8"/>
        </w:rPr>
        <w:t> </w:t>
      </w:r>
      <w:r>
        <w:rPr/>
        <w:t>LITERATUR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220"/>
        <w:jc w:val="both"/>
      </w:pPr>
      <w:r>
        <w:rPr/>
        <w:t>Penulisan</w:t>
      </w:r>
      <w:r>
        <w:rPr>
          <w:spacing w:val="-5"/>
        </w:rPr>
        <w:t> </w:t>
      </w:r>
      <w:r>
        <w:rPr/>
        <w:t>kajian</w:t>
      </w:r>
      <w:r>
        <w:rPr>
          <w:spacing w:val="-2"/>
        </w:rPr>
        <w:t> </w:t>
      </w:r>
      <w:r>
        <w:rPr/>
        <w:t>lepas</w:t>
      </w:r>
      <w:r>
        <w:rPr>
          <w:spacing w:val="-4"/>
        </w:rPr>
        <w:t> </w:t>
      </w:r>
      <w:r>
        <w:rPr/>
        <w:t>harus</w:t>
      </w:r>
      <w:r>
        <w:rPr>
          <w:spacing w:val="-1"/>
        </w:rPr>
        <w:t> </w:t>
      </w:r>
      <w:r>
        <w:rPr/>
        <w:t>dimulakan</w:t>
      </w:r>
      <w:r>
        <w:rPr>
          <w:spacing w:val="-3"/>
        </w:rPr>
        <w:t> </w:t>
      </w:r>
      <w:r>
        <w:rPr/>
        <w:t>dengan</w:t>
      </w:r>
      <w:r>
        <w:rPr>
          <w:spacing w:val="-2"/>
        </w:rPr>
        <w:t> </w:t>
      </w:r>
      <w:r>
        <w:rPr/>
        <w:t>perenggan</w:t>
      </w:r>
      <w:r>
        <w:rPr>
          <w:spacing w:val="-2"/>
        </w:rPr>
        <w:t> </w:t>
      </w:r>
      <w:r>
        <w:rPr/>
        <w:t>pertama.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bookmarkStart w:name="Heading Kedua " w:id="4"/>
      <w:bookmarkEnd w:id="4"/>
      <w:r>
        <w:rPr/>
      </w:r>
      <w:r>
        <w:rPr>
          <w:b/>
          <w:i/>
          <w:sz w:val="24"/>
        </w:rPr>
        <w:t>Heading</w:t>
      </w:r>
      <w:r>
        <w:rPr>
          <w:b/>
          <w:i/>
          <w:spacing w:val="-6"/>
          <w:sz w:val="24"/>
        </w:rPr>
        <w:t> </w:t>
      </w:r>
      <w:r>
        <w:rPr>
          <w:b/>
          <w:sz w:val="24"/>
        </w:rPr>
        <w:t>Kedua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1"/>
        <w:ind w:left="220" w:right="4599" w:firstLine="0"/>
        <w:jc w:val="left"/>
        <w:rPr>
          <w:sz w:val="24"/>
        </w:rPr>
      </w:pPr>
      <w:r>
        <w:rPr>
          <w:sz w:val="24"/>
        </w:rPr>
        <w:t>Perenggan pertama selepas </w:t>
      </w:r>
      <w:r>
        <w:rPr>
          <w:i/>
          <w:sz w:val="24"/>
        </w:rPr>
        <w:t>heading </w:t>
      </w:r>
      <w:r>
        <w:rPr>
          <w:sz w:val="24"/>
        </w:rPr>
        <w:t>kedua.</w:t>
      </w:r>
      <w:r>
        <w:rPr>
          <w:spacing w:val="1"/>
          <w:sz w:val="24"/>
        </w:rPr>
        <w:t> </w:t>
      </w:r>
      <w:bookmarkStart w:name="Sub-heading di bawah Heading Kedua" w:id="5"/>
      <w:bookmarkEnd w:id="5"/>
      <w:r>
        <w:rPr>
          <w:b/>
          <w:i/>
          <w:sz w:val="24"/>
        </w:rPr>
        <w:t>S</w:t>
      </w:r>
      <w:r>
        <w:rPr>
          <w:b/>
          <w:i/>
          <w:sz w:val="24"/>
        </w:rPr>
        <w:t>ub-heading </w:t>
      </w:r>
      <w:r>
        <w:rPr>
          <w:b/>
          <w:sz w:val="24"/>
        </w:rPr>
        <w:t>di bawah </w:t>
      </w:r>
      <w:r>
        <w:rPr>
          <w:b/>
          <w:i/>
          <w:sz w:val="24"/>
        </w:rPr>
        <w:t>Heading Kedua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Perenggan</w:t>
      </w:r>
      <w:r>
        <w:rPr>
          <w:spacing w:val="-6"/>
          <w:sz w:val="24"/>
        </w:rPr>
        <w:t> </w:t>
      </w:r>
      <w:r>
        <w:rPr>
          <w:sz w:val="24"/>
        </w:rPr>
        <w:t>pertama</w:t>
      </w:r>
      <w:r>
        <w:rPr>
          <w:spacing w:val="-2"/>
          <w:sz w:val="24"/>
        </w:rPr>
        <w:t> </w:t>
      </w:r>
      <w:r>
        <w:rPr>
          <w:sz w:val="24"/>
        </w:rPr>
        <w:t>selepas</w:t>
      </w:r>
      <w:r>
        <w:rPr>
          <w:spacing w:val="-5"/>
          <w:sz w:val="24"/>
        </w:rPr>
        <w:t> </w:t>
      </w:r>
      <w:r>
        <w:rPr>
          <w:i/>
          <w:sz w:val="24"/>
        </w:rPr>
        <w:t>sub-heading</w:t>
      </w:r>
      <w:r>
        <w:rPr>
          <w:i/>
          <w:spacing w:val="-1"/>
          <w:sz w:val="24"/>
        </w:rPr>
        <w:t> </w:t>
      </w:r>
      <w:r>
        <w:rPr>
          <w:sz w:val="24"/>
        </w:rPr>
        <w:t>kedua.</w:t>
      </w:r>
    </w:p>
    <w:p>
      <w:pPr>
        <w:spacing w:before="1"/>
        <w:ind w:left="220" w:right="0" w:firstLine="0"/>
        <w:jc w:val="left"/>
        <w:rPr>
          <w:sz w:val="24"/>
        </w:rPr>
      </w:pPr>
      <w:r>
        <w:rPr>
          <w:b/>
          <w:sz w:val="24"/>
        </w:rPr>
        <w:t>H1:</w:t>
      </w:r>
      <w:r>
        <w:rPr>
          <w:b/>
          <w:spacing w:val="-5"/>
          <w:sz w:val="24"/>
        </w:rPr>
        <w:t> </w:t>
      </w:r>
      <w:r>
        <w:rPr>
          <w:i/>
          <w:sz w:val="24"/>
        </w:rPr>
        <w:t>Cara penulisan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hipotesis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kajian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(Calibri,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points,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Italic)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0" w:top="800" w:bottom="280" w:left="1220" w:right="1200"/>
          <w:pgNumType w:start="3"/>
        </w:sectPr>
      </w:pPr>
    </w:p>
    <w:p>
      <w:pPr>
        <w:spacing w:before="35"/>
        <w:ind w:left="169" w:right="0" w:firstLine="0"/>
        <w:jc w:val="left"/>
        <w:rPr>
          <w:b/>
          <w:sz w:val="22"/>
        </w:rPr>
      </w:pPr>
      <w:r>
        <w:rPr/>
        <w:pict>
          <v:rect style="position:absolute;margin-left:72.5pt;margin-top:21.973633pt;width:449.55pt;height: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22"/>
        </w:rPr>
        <w:t>INTERNATIONAL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CONFERENCE </w:t>
      </w:r>
      <w:r>
        <w:rPr>
          <w:b/>
          <w:spacing w:val="-1"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LANGUAGE,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EDUCATION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TOURISM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2023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Heading1"/>
        <w:ind w:left="220"/>
      </w:pPr>
      <w:bookmarkStart w:name="RESEARCH METHOD" w:id="6"/>
      <w:bookmarkEnd w:id="6"/>
      <w:r>
        <w:rPr>
          <w:b w:val="0"/>
        </w:rPr>
      </w:r>
      <w:r>
        <w:rPr/>
        <w:t>RESEARCH</w:t>
      </w:r>
      <w:r>
        <w:rPr>
          <w:spacing w:val="-9"/>
        </w:rPr>
        <w:t> </w:t>
      </w:r>
      <w:r>
        <w:rPr/>
        <w:t>METHOD</w:t>
      </w:r>
    </w:p>
    <w:p>
      <w:pPr>
        <w:pStyle w:val="BodyText"/>
        <w:rPr>
          <w:b/>
        </w:rPr>
      </w:pPr>
    </w:p>
    <w:p>
      <w:pPr>
        <w:pStyle w:val="BodyText"/>
        <w:ind w:left="220" w:right="3630"/>
        <w:jc w:val="both"/>
      </w:pPr>
      <w:r>
        <w:rPr/>
        <w:t>Bahagian</w:t>
      </w:r>
      <w:r>
        <w:rPr>
          <w:spacing w:val="1"/>
        </w:rPr>
        <w:t> </w:t>
      </w:r>
      <w:r>
        <w:rPr/>
        <w:t>utama penulisan</w:t>
      </w:r>
      <w:r>
        <w:rPr>
          <w:spacing w:val="1"/>
        </w:rPr>
        <w:t> </w:t>
      </w:r>
      <w:r>
        <w:rPr/>
        <w:t>kaedah kajian.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mesti</w:t>
      </w:r>
      <w:r>
        <w:rPr>
          <w:spacing w:val="1"/>
        </w:rPr>
        <w:t> </w:t>
      </w:r>
      <w:r>
        <w:rPr/>
        <w:t>bermula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perenggan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diikuti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perenggan</w:t>
      </w:r>
      <w:r>
        <w:rPr>
          <w:spacing w:val="-1"/>
        </w:rPr>
        <w:t> </w:t>
      </w:r>
      <w:r>
        <w:rPr/>
        <w:t>kedua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seterusnya.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bookmarkStart w:name="Heading Kedua " w:id="7"/>
      <w:bookmarkEnd w:id="7"/>
      <w:r>
        <w:rPr/>
      </w:r>
      <w:r>
        <w:rPr>
          <w:b/>
          <w:i/>
          <w:sz w:val="24"/>
        </w:rPr>
        <w:t>Heading</w:t>
      </w:r>
      <w:r>
        <w:rPr>
          <w:b/>
          <w:i/>
          <w:spacing w:val="-6"/>
          <w:sz w:val="24"/>
        </w:rPr>
        <w:t> </w:t>
      </w:r>
      <w:r>
        <w:rPr>
          <w:b/>
          <w:sz w:val="24"/>
        </w:rPr>
        <w:t>Kedua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20" w:right="4599" w:firstLine="0"/>
        <w:jc w:val="left"/>
        <w:rPr>
          <w:sz w:val="24"/>
        </w:rPr>
      </w:pPr>
      <w:r>
        <w:rPr>
          <w:sz w:val="24"/>
        </w:rPr>
        <w:t>Perenggan pertama selepas </w:t>
      </w:r>
      <w:r>
        <w:rPr>
          <w:i/>
          <w:sz w:val="24"/>
        </w:rPr>
        <w:t>heading </w:t>
      </w:r>
      <w:r>
        <w:rPr>
          <w:sz w:val="24"/>
        </w:rPr>
        <w:t>kedua.</w:t>
      </w:r>
      <w:r>
        <w:rPr>
          <w:spacing w:val="1"/>
          <w:sz w:val="24"/>
        </w:rPr>
        <w:t> </w:t>
      </w:r>
      <w:bookmarkStart w:name="Sub-heading di bawah Heading Kedua" w:id="8"/>
      <w:bookmarkEnd w:id="8"/>
      <w:r>
        <w:rPr>
          <w:b/>
          <w:i/>
          <w:sz w:val="24"/>
        </w:rPr>
        <w:t>S</w:t>
      </w:r>
      <w:r>
        <w:rPr>
          <w:b/>
          <w:i/>
          <w:sz w:val="24"/>
        </w:rPr>
        <w:t>ub-heading </w:t>
      </w:r>
      <w:r>
        <w:rPr>
          <w:b/>
          <w:sz w:val="24"/>
        </w:rPr>
        <w:t>di bawah </w:t>
      </w:r>
      <w:r>
        <w:rPr>
          <w:b/>
          <w:i/>
          <w:sz w:val="24"/>
        </w:rPr>
        <w:t>Heading Kedua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Perenggan</w:t>
      </w:r>
      <w:r>
        <w:rPr>
          <w:spacing w:val="-6"/>
          <w:sz w:val="24"/>
        </w:rPr>
        <w:t> </w:t>
      </w:r>
      <w:r>
        <w:rPr>
          <w:sz w:val="24"/>
        </w:rPr>
        <w:t>pertama</w:t>
      </w:r>
      <w:r>
        <w:rPr>
          <w:spacing w:val="-2"/>
          <w:sz w:val="24"/>
        </w:rPr>
        <w:t> </w:t>
      </w:r>
      <w:r>
        <w:rPr>
          <w:sz w:val="24"/>
        </w:rPr>
        <w:t>selepas</w:t>
      </w:r>
      <w:r>
        <w:rPr>
          <w:spacing w:val="-5"/>
          <w:sz w:val="24"/>
        </w:rPr>
        <w:t> </w:t>
      </w:r>
      <w:r>
        <w:rPr>
          <w:i/>
          <w:sz w:val="24"/>
        </w:rPr>
        <w:t>sub-heading</w:t>
      </w:r>
      <w:r>
        <w:rPr>
          <w:i/>
          <w:spacing w:val="-1"/>
          <w:sz w:val="24"/>
        </w:rPr>
        <w:t> </w:t>
      </w:r>
      <w:r>
        <w:rPr>
          <w:sz w:val="24"/>
        </w:rPr>
        <w:t>kedua.</w:t>
      </w:r>
    </w:p>
    <w:p>
      <w:pPr>
        <w:spacing w:line="240" w:lineRule="auto" w:before="4"/>
        <w:ind w:left="119" w:right="115" w:firstLine="0"/>
        <w:jc w:val="both"/>
        <w:rPr>
          <w:sz w:val="22"/>
        </w:rPr>
      </w:pPr>
      <w:r>
        <w:rPr>
          <w:color w:val="1F2023"/>
          <w:sz w:val="22"/>
        </w:rPr>
        <w:t>Semua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jadual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hendaklah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dinomborkan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dengan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angka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(cth.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Jadual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1;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Jadual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2;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….).</w:t>
      </w:r>
      <w:r>
        <w:rPr>
          <w:color w:val="1F2023"/>
          <w:spacing w:val="49"/>
          <w:sz w:val="22"/>
        </w:rPr>
        <w:t> </w:t>
      </w:r>
      <w:r>
        <w:rPr>
          <w:sz w:val="22"/>
        </w:rPr>
        <w:t>Tajuk</w:t>
      </w:r>
      <w:r>
        <w:rPr>
          <w:spacing w:val="50"/>
          <w:sz w:val="22"/>
        </w:rPr>
        <w:t> </w:t>
      </w:r>
      <w:r>
        <w:rPr>
          <w:sz w:val="22"/>
        </w:rPr>
        <w:t>rajah</w:t>
      </w:r>
      <w:r>
        <w:rPr>
          <w:spacing w:val="1"/>
          <w:sz w:val="22"/>
        </w:rPr>
        <w:t> </w:t>
      </w:r>
      <w:r>
        <w:rPr>
          <w:sz w:val="22"/>
        </w:rPr>
        <w:t>hendaklah</w:t>
      </w:r>
      <w:r>
        <w:rPr>
          <w:spacing w:val="1"/>
          <w:sz w:val="22"/>
        </w:rPr>
        <w:t> </w:t>
      </w:r>
      <w:r>
        <w:rPr>
          <w:sz w:val="22"/>
        </w:rPr>
        <w:t>diletakkan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1"/>
          <w:sz w:val="22"/>
        </w:rPr>
        <w:t> </w:t>
      </w:r>
      <w:r>
        <w:rPr>
          <w:sz w:val="22"/>
        </w:rPr>
        <w:t>rajah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saiz</w:t>
      </w:r>
      <w:r>
        <w:rPr>
          <w:spacing w:val="1"/>
          <w:sz w:val="22"/>
        </w:rPr>
        <w:t> </w:t>
      </w:r>
      <w:r>
        <w:rPr>
          <w:sz w:val="22"/>
        </w:rPr>
        <w:t>11,</w:t>
      </w:r>
      <w:r>
        <w:rPr>
          <w:spacing w:val="1"/>
          <w:sz w:val="22"/>
        </w:rPr>
        <w:t> </w:t>
      </w:r>
      <w:r>
        <w:rPr>
          <w:sz w:val="22"/>
        </w:rPr>
        <w:t>Calibri,</w:t>
      </w:r>
      <w:r>
        <w:rPr>
          <w:spacing w:val="1"/>
          <w:sz w:val="22"/>
        </w:rPr>
        <w:t> </w:t>
      </w:r>
      <w:r>
        <w:rPr>
          <w:sz w:val="22"/>
        </w:rPr>
        <w:t>margin</w:t>
      </w:r>
      <w:r>
        <w:rPr>
          <w:spacing w:val="1"/>
          <w:sz w:val="22"/>
        </w:rPr>
        <w:t> </w:t>
      </w:r>
      <w:r>
        <w:rPr>
          <w:sz w:val="22"/>
        </w:rPr>
        <w:t>tengah,</w:t>
      </w:r>
      <w:r>
        <w:rPr>
          <w:spacing w:val="1"/>
          <w:sz w:val="22"/>
        </w:rPr>
        <w:t> </w:t>
      </w:r>
      <w:r>
        <w:rPr>
          <w:sz w:val="22"/>
        </w:rPr>
        <w:t>garis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jarak</w:t>
      </w:r>
      <w:r>
        <w:rPr>
          <w:spacing w:val="1"/>
          <w:sz w:val="22"/>
        </w:rPr>
        <w:t> </w:t>
      </w:r>
      <w:r>
        <w:rPr>
          <w:sz w:val="22"/>
        </w:rPr>
        <w:t>setiap</w:t>
      </w:r>
      <w:r>
        <w:rPr>
          <w:spacing w:val="1"/>
          <w:sz w:val="22"/>
        </w:rPr>
        <w:t> </w:t>
      </w:r>
      <w:r>
        <w:rPr>
          <w:sz w:val="22"/>
        </w:rPr>
        <w:t>perenggan mesti 1 selang baris. Tinggalkan 2 baris dengan jarak perenggan 1 selang baris (di antara</w:t>
      </w:r>
      <w:r>
        <w:rPr>
          <w:spacing w:val="1"/>
          <w:sz w:val="22"/>
        </w:rPr>
        <w:t> </w:t>
      </w:r>
      <w:r>
        <w:rPr>
          <w:sz w:val="22"/>
        </w:rPr>
        <w:t>perenggan dan rajah). </w:t>
      </w:r>
      <w:r>
        <w:rPr>
          <w:color w:val="1F2023"/>
          <w:sz w:val="22"/>
        </w:rPr>
        <w:t>Kandungan jadual hendaklah </w:t>
      </w:r>
      <w:r>
        <w:rPr>
          <w:sz w:val="22"/>
        </w:rPr>
        <w:t>saiz 11, Calibri, margin tengah dan jarak setiap</w:t>
      </w:r>
      <w:r>
        <w:rPr>
          <w:spacing w:val="1"/>
          <w:sz w:val="22"/>
        </w:rPr>
        <w:t> </w:t>
      </w:r>
      <w:r>
        <w:rPr>
          <w:sz w:val="22"/>
        </w:rPr>
        <w:t>perenggan mesti 1 selang baris</w:t>
      </w:r>
      <w:r>
        <w:rPr>
          <w:color w:val="1F2023"/>
          <w:sz w:val="22"/>
        </w:rPr>
        <w:t>. </w:t>
      </w:r>
      <w:r>
        <w:rPr>
          <w:sz w:val="22"/>
        </w:rPr>
        <w:t>Tinggalkan 2 baris dengan jarak perenggan 1 selang baris (di antara</w:t>
      </w:r>
      <w:r>
        <w:rPr>
          <w:spacing w:val="1"/>
          <w:sz w:val="22"/>
        </w:rPr>
        <w:t> </w:t>
      </w:r>
      <w:r>
        <w:rPr>
          <w:sz w:val="22"/>
        </w:rPr>
        <w:t>perenggan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rajah).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3080" w:right="3094" w:firstLine="0"/>
        <w:jc w:val="center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-4"/>
          <w:sz w:val="22"/>
        </w:rPr>
        <w:t> </w:t>
      </w:r>
      <w:r>
        <w:rPr>
          <w:sz w:val="22"/>
        </w:rPr>
        <w:t>Contoh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di dalam</w:t>
      </w:r>
      <w:r>
        <w:rPr>
          <w:spacing w:val="-2"/>
          <w:sz w:val="22"/>
        </w:rPr>
        <w:t> </w:t>
      </w:r>
      <w:r>
        <w:rPr>
          <w:sz w:val="22"/>
        </w:rPr>
        <w:t>jadual</w:t>
      </w:r>
    </w:p>
    <w:tbl>
      <w:tblPr>
        <w:tblW w:w="0" w:type="auto"/>
        <w:jc w:val="left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1996"/>
        <w:gridCol w:w="1035"/>
        <w:gridCol w:w="1342"/>
        <w:gridCol w:w="1275"/>
        <w:gridCol w:w="888"/>
      </w:tblGrid>
      <w:tr>
        <w:trPr>
          <w:trHeight w:val="622" w:hRule="atLeast"/>
        </w:trPr>
        <w:tc>
          <w:tcPr>
            <w:tcW w:w="20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Construct</w:t>
            </w:r>
          </w:p>
        </w:tc>
        <w:tc>
          <w:tcPr>
            <w:tcW w:w="19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995"/>
              <w:rPr>
                <w:sz w:val="24"/>
              </w:rPr>
            </w:pPr>
            <w:r>
              <w:rPr>
                <w:sz w:val="24"/>
              </w:rPr>
              <w:t>Indicator</w:t>
            </w:r>
          </w:p>
        </w:tc>
        <w:tc>
          <w:tcPr>
            <w:tcW w:w="10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13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98" w:right="129" w:hanging="53"/>
              <w:rPr>
                <w:sz w:val="24"/>
              </w:rPr>
            </w:pPr>
            <w:r>
              <w:rPr>
                <w:sz w:val="24"/>
              </w:rPr>
              <w:t>Composite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reliability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281" w:right="127" w:hanging="137"/>
              <w:rPr>
                <w:sz w:val="24"/>
              </w:rPr>
            </w:pPr>
            <w:r>
              <w:rPr>
                <w:spacing w:val="-1"/>
                <w:sz w:val="24"/>
              </w:rPr>
              <w:t>Cronbach’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8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AVE</w:t>
            </w:r>
            <w:r>
              <w:rPr>
                <w:sz w:val="24"/>
                <w:vertAlign w:val="superscript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2052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Attitude</w:t>
            </w:r>
          </w:p>
        </w:tc>
        <w:tc>
          <w:tcPr>
            <w:tcW w:w="1996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995"/>
              <w:rPr>
                <w:sz w:val="24"/>
              </w:rPr>
            </w:pPr>
            <w:r>
              <w:rPr>
                <w:sz w:val="24"/>
              </w:rPr>
              <w:t>ATT1</w:t>
            </w:r>
          </w:p>
        </w:tc>
        <w:tc>
          <w:tcPr>
            <w:tcW w:w="1035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2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322" w:right="294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</w:tr>
      <w:tr>
        <w:trPr>
          <w:trHeight w:val="334" w:hRule="atLeast"/>
        </w:trPr>
        <w:tc>
          <w:tcPr>
            <w:tcW w:w="2052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  <w:shd w:val="clear" w:color="auto" w:fill="F0F0F0"/>
          </w:tcPr>
          <w:p>
            <w:pPr>
              <w:pStyle w:val="TableParagraph"/>
              <w:ind w:left="995"/>
              <w:rPr>
                <w:sz w:val="24"/>
              </w:rPr>
            </w:pPr>
            <w:r>
              <w:rPr>
                <w:sz w:val="24"/>
              </w:rPr>
              <w:t>ATT2</w:t>
            </w:r>
          </w:p>
        </w:tc>
        <w:tc>
          <w:tcPr>
            <w:tcW w:w="1035" w:type="dxa"/>
            <w:shd w:val="clear" w:color="auto" w:fill="F0F0F0"/>
          </w:tcPr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2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2052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  <w:shd w:val="clear" w:color="auto" w:fill="F0F0F0"/>
          </w:tcPr>
          <w:p>
            <w:pPr>
              <w:pStyle w:val="TableParagraph"/>
              <w:spacing w:line="290" w:lineRule="exact"/>
              <w:ind w:left="995"/>
              <w:rPr>
                <w:sz w:val="24"/>
              </w:rPr>
            </w:pPr>
            <w:r>
              <w:rPr>
                <w:sz w:val="24"/>
              </w:rPr>
              <w:t>ATT3</w:t>
            </w:r>
          </w:p>
        </w:tc>
        <w:tc>
          <w:tcPr>
            <w:tcW w:w="1035" w:type="dxa"/>
            <w:shd w:val="clear" w:color="auto" w:fill="F0F0F0"/>
          </w:tcPr>
          <w:p>
            <w:pPr>
              <w:pStyle w:val="TableParagraph"/>
              <w:spacing w:line="290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2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2052" w:type="dxa"/>
            <w:shd w:val="clear" w:color="auto" w:fill="F0F0F0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Intention</w:t>
            </w:r>
          </w:p>
        </w:tc>
        <w:tc>
          <w:tcPr>
            <w:tcW w:w="1996" w:type="dxa"/>
            <w:shd w:val="clear" w:color="auto" w:fill="F0F0F0"/>
          </w:tcPr>
          <w:p>
            <w:pPr>
              <w:pStyle w:val="TableParagraph"/>
              <w:spacing w:line="279" w:lineRule="exact"/>
              <w:ind w:left="995"/>
              <w:rPr>
                <w:sz w:val="24"/>
              </w:rPr>
            </w:pPr>
            <w:r>
              <w:rPr>
                <w:sz w:val="24"/>
              </w:rPr>
              <w:t>INT1</w:t>
            </w:r>
          </w:p>
        </w:tc>
        <w:tc>
          <w:tcPr>
            <w:tcW w:w="1035" w:type="dxa"/>
            <w:shd w:val="clear" w:color="auto" w:fill="F0F0F0"/>
          </w:tcPr>
          <w:p>
            <w:pPr>
              <w:pStyle w:val="TableParagraph"/>
              <w:spacing w:line="279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2" w:type="dxa"/>
            <w:shd w:val="clear" w:color="auto" w:fill="F0F0F0"/>
          </w:tcPr>
          <w:p>
            <w:pPr>
              <w:pStyle w:val="TableParagraph"/>
              <w:spacing w:line="279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275" w:type="dxa"/>
            <w:shd w:val="clear" w:color="auto" w:fill="F0F0F0"/>
          </w:tcPr>
          <w:p>
            <w:pPr>
              <w:pStyle w:val="TableParagraph"/>
              <w:spacing w:line="279" w:lineRule="exact"/>
              <w:ind w:left="322" w:right="294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888" w:type="dxa"/>
            <w:shd w:val="clear" w:color="auto" w:fill="F0F0F0"/>
          </w:tcPr>
          <w:p>
            <w:pPr>
              <w:pStyle w:val="TableParagraph"/>
              <w:spacing w:line="279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</w:tr>
      <w:tr>
        <w:trPr>
          <w:trHeight w:val="315" w:hRule="atLeast"/>
        </w:trPr>
        <w:tc>
          <w:tcPr>
            <w:tcW w:w="2052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  <w:shd w:val="clear" w:color="auto" w:fill="F0F0F0"/>
          </w:tcPr>
          <w:p>
            <w:pPr>
              <w:pStyle w:val="TableParagraph"/>
              <w:spacing w:line="290" w:lineRule="exact"/>
              <w:ind w:left="995"/>
              <w:rPr>
                <w:sz w:val="24"/>
              </w:rPr>
            </w:pPr>
            <w:r>
              <w:rPr>
                <w:sz w:val="24"/>
              </w:rPr>
              <w:t>INT2</w:t>
            </w:r>
          </w:p>
        </w:tc>
        <w:tc>
          <w:tcPr>
            <w:tcW w:w="1035" w:type="dxa"/>
            <w:shd w:val="clear" w:color="auto" w:fill="F0F0F0"/>
          </w:tcPr>
          <w:p>
            <w:pPr>
              <w:pStyle w:val="TableParagraph"/>
              <w:spacing w:line="290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2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2052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  <w:shd w:val="clear" w:color="auto" w:fill="F0F0F0"/>
          </w:tcPr>
          <w:p>
            <w:pPr>
              <w:pStyle w:val="TableParagraph"/>
              <w:spacing w:line="274" w:lineRule="exact"/>
              <w:ind w:left="995"/>
              <w:rPr>
                <w:sz w:val="24"/>
              </w:rPr>
            </w:pPr>
            <w:r>
              <w:rPr>
                <w:sz w:val="24"/>
              </w:rPr>
              <w:t>INT3</w:t>
            </w:r>
          </w:p>
        </w:tc>
        <w:tc>
          <w:tcPr>
            <w:tcW w:w="1035" w:type="dxa"/>
            <w:shd w:val="clear" w:color="auto" w:fill="F0F0F0"/>
          </w:tcPr>
          <w:p>
            <w:pPr>
              <w:pStyle w:val="TableParagraph"/>
              <w:spacing w:line="274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2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052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line="279" w:lineRule="exact"/>
              <w:ind w:left="995"/>
              <w:rPr>
                <w:sz w:val="24"/>
              </w:rPr>
            </w:pPr>
            <w:r>
              <w:rPr>
                <w:sz w:val="24"/>
              </w:rPr>
              <w:t>INT4</w:t>
            </w:r>
          </w:p>
        </w:tc>
        <w:tc>
          <w:tcPr>
            <w:tcW w:w="1035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line="279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2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503" w:right="0" w:firstLine="0"/>
        <w:jc w:val="left"/>
        <w:rPr>
          <w:sz w:val="20"/>
        </w:rPr>
      </w:pP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note</w:t>
      </w:r>
      <w:r>
        <w:rPr>
          <w:spacing w:val="-6"/>
          <w:sz w:val="20"/>
        </w:rPr>
        <w:t> </w:t>
      </w:r>
      <w:r>
        <w:rPr>
          <w:sz w:val="20"/>
        </w:rPr>
        <w:t>here</w:t>
      </w:r>
      <w:r>
        <w:rPr>
          <w:spacing w:val="-4"/>
          <w:sz w:val="20"/>
        </w:rPr>
        <w:t> </w:t>
      </w:r>
      <w:r>
        <w:rPr>
          <w:sz w:val="20"/>
        </w:rPr>
        <w:t>whenever</w:t>
      </w:r>
      <w:r>
        <w:rPr>
          <w:spacing w:val="-6"/>
          <w:sz w:val="20"/>
        </w:rPr>
        <w:t> </w:t>
      </w:r>
      <w:r>
        <w:rPr>
          <w:sz w:val="20"/>
        </w:rPr>
        <w:t>necessary (Calibri,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points)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1"/>
        <w:ind w:left="220"/>
      </w:pPr>
      <w:bookmarkStart w:name="HASIL DAPATAN" w:id="9"/>
      <w:bookmarkEnd w:id="9"/>
      <w:r>
        <w:rPr>
          <w:b w:val="0"/>
        </w:rPr>
      </w:r>
      <w:r>
        <w:rPr/>
        <w:t>HASIL</w:t>
      </w:r>
      <w:r>
        <w:rPr>
          <w:spacing w:val="-9"/>
        </w:rPr>
        <w:t> </w:t>
      </w:r>
      <w:r>
        <w:rPr/>
        <w:t>DAPATAN</w:t>
      </w:r>
    </w:p>
    <w:p>
      <w:pPr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Perenggan</w:t>
      </w:r>
      <w:r>
        <w:rPr>
          <w:spacing w:val="-3"/>
          <w:sz w:val="24"/>
        </w:rPr>
        <w:t> </w:t>
      </w:r>
      <w:r>
        <w:rPr>
          <w:sz w:val="24"/>
        </w:rPr>
        <w:t>pertama</w:t>
      </w:r>
      <w:r>
        <w:rPr>
          <w:spacing w:val="-4"/>
          <w:sz w:val="24"/>
        </w:rPr>
        <w:t> </w:t>
      </w:r>
      <w:r>
        <w:rPr>
          <w:sz w:val="24"/>
        </w:rPr>
        <w:t>selepas</w:t>
      </w:r>
      <w:r>
        <w:rPr>
          <w:spacing w:val="-2"/>
          <w:sz w:val="24"/>
        </w:rPr>
        <w:t> </w:t>
      </w:r>
      <w:r>
        <w:rPr>
          <w:i/>
          <w:sz w:val="24"/>
        </w:rPr>
        <w:t>heading</w:t>
      </w:r>
      <w:r>
        <w:rPr>
          <w:i/>
          <w:spacing w:val="-2"/>
          <w:sz w:val="24"/>
        </w:rPr>
        <w:t> </w:t>
      </w:r>
      <w:r>
        <w:rPr>
          <w:sz w:val="24"/>
        </w:rPr>
        <w:t>utama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9" w:right="116" w:firstLine="0"/>
        <w:jc w:val="both"/>
        <w:rPr>
          <w:sz w:val="22"/>
        </w:rPr>
      </w:pPr>
      <w:r>
        <w:rPr>
          <w:sz w:val="22"/>
        </w:rPr>
        <w:t>Semua angka hendaklah dinomborkan dengan angka (cth. Rajah 1; Rajah 2; ….). Tajuk rajah hendaklah</w:t>
      </w:r>
      <w:r>
        <w:rPr>
          <w:spacing w:val="1"/>
          <w:sz w:val="22"/>
        </w:rPr>
        <w:t> </w:t>
      </w:r>
      <w:r>
        <w:rPr>
          <w:sz w:val="22"/>
        </w:rPr>
        <w:t>diletakkan</w:t>
      </w:r>
      <w:r>
        <w:rPr>
          <w:spacing w:val="7"/>
          <w:sz w:val="22"/>
        </w:rPr>
        <w:t> </w:t>
      </w:r>
      <w:r>
        <w:rPr>
          <w:sz w:val="22"/>
        </w:rPr>
        <w:t>di</w:t>
      </w:r>
      <w:r>
        <w:rPr>
          <w:spacing w:val="8"/>
          <w:sz w:val="22"/>
        </w:rPr>
        <w:t> </w:t>
      </w:r>
      <w:r>
        <w:rPr>
          <w:sz w:val="22"/>
        </w:rPr>
        <w:t>atas</w:t>
      </w:r>
      <w:r>
        <w:rPr>
          <w:spacing w:val="5"/>
          <w:sz w:val="22"/>
        </w:rPr>
        <w:t> </w:t>
      </w:r>
      <w:r>
        <w:rPr>
          <w:sz w:val="22"/>
        </w:rPr>
        <w:t>rajah</w:t>
      </w:r>
      <w:r>
        <w:rPr>
          <w:spacing w:val="8"/>
          <w:sz w:val="22"/>
        </w:rPr>
        <w:t> </w:t>
      </w:r>
      <w:r>
        <w:rPr>
          <w:sz w:val="22"/>
        </w:rPr>
        <w:t>dengan</w:t>
      </w:r>
      <w:r>
        <w:rPr>
          <w:spacing w:val="8"/>
          <w:sz w:val="22"/>
        </w:rPr>
        <w:t> </w:t>
      </w:r>
      <w:r>
        <w:rPr>
          <w:sz w:val="22"/>
        </w:rPr>
        <w:t>saiz</w:t>
      </w:r>
      <w:r>
        <w:rPr>
          <w:spacing w:val="7"/>
          <w:sz w:val="22"/>
        </w:rPr>
        <w:t> </w:t>
      </w:r>
      <w:r>
        <w:rPr>
          <w:sz w:val="22"/>
        </w:rPr>
        <w:t>11,</w:t>
      </w:r>
      <w:r>
        <w:rPr>
          <w:spacing w:val="9"/>
          <w:sz w:val="22"/>
        </w:rPr>
        <w:t> </w:t>
      </w:r>
      <w:r>
        <w:rPr>
          <w:sz w:val="22"/>
        </w:rPr>
        <w:t>Calibri,</w:t>
      </w:r>
      <w:r>
        <w:rPr>
          <w:spacing w:val="5"/>
          <w:sz w:val="22"/>
        </w:rPr>
        <w:t> </w:t>
      </w:r>
      <w:r>
        <w:rPr>
          <w:sz w:val="22"/>
        </w:rPr>
        <w:t>Margin</w:t>
      </w:r>
      <w:r>
        <w:rPr>
          <w:spacing w:val="8"/>
          <w:sz w:val="22"/>
        </w:rPr>
        <w:t> </w:t>
      </w:r>
      <w:r>
        <w:rPr>
          <w:sz w:val="22"/>
        </w:rPr>
        <w:t>Tengah,</w:t>
      </w:r>
      <w:r>
        <w:rPr>
          <w:spacing w:val="9"/>
          <w:sz w:val="22"/>
        </w:rPr>
        <w:t> </w:t>
      </w:r>
      <w:r>
        <w:rPr>
          <w:sz w:val="22"/>
        </w:rPr>
        <w:t>garis</w:t>
      </w:r>
      <w:r>
        <w:rPr>
          <w:spacing w:val="8"/>
          <w:sz w:val="22"/>
        </w:rPr>
        <w:t> </w:t>
      </w:r>
      <w:r>
        <w:rPr>
          <w:sz w:val="22"/>
        </w:rPr>
        <w:t>dan</w:t>
      </w:r>
      <w:r>
        <w:rPr>
          <w:spacing w:val="8"/>
          <w:sz w:val="22"/>
        </w:rPr>
        <w:t> </w:t>
      </w:r>
      <w:r>
        <w:rPr>
          <w:sz w:val="22"/>
        </w:rPr>
        <w:t>jarak</w:t>
      </w:r>
      <w:r>
        <w:rPr>
          <w:spacing w:val="6"/>
          <w:sz w:val="22"/>
        </w:rPr>
        <w:t> </w:t>
      </w:r>
      <w:r>
        <w:rPr>
          <w:sz w:val="22"/>
        </w:rPr>
        <w:t>setiap</w:t>
      </w:r>
      <w:r>
        <w:rPr>
          <w:spacing w:val="6"/>
          <w:sz w:val="22"/>
        </w:rPr>
        <w:t> </w:t>
      </w:r>
      <w:r>
        <w:rPr>
          <w:sz w:val="22"/>
        </w:rPr>
        <w:t>perenggan</w:t>
      </w:r>
      <w:r>
        <w:rPr>
          <w:spacing w:val="8"/>
          <w:sz w:val="22"/>
        </w:rPr>
        <w:t> </w:t>
      </w:r>
      <w:r>
        <w:rPr>
          <w:sz w:val="22"/>
        </w:rPr>
        <w:t>mesti</w:t>
      </w:r>
      <w:r>
        <w:rPr>
          <w:spacing w:val="-48"/>
          <w:sz w:val="22"/>
        </w:rPr>
        <w:t> </w:t>
      </w:r>
      <w:r>
        <w:rPr>
          <w:sz w:val="22"/>
        </w:rPr>
        <w:t>1 selang baris. Tinggalkan 2 baris dengan jarak perenggan 1 selang baris (di antara perenggan dan</w:t>
      </w:r>
      <w:r>
        <w:rPr>
          <w:spacing w:val="1"/>
          <w:sz w:val="22"/>
        </w:rPr>
        <w:t> </w:t>
      </w:r>
      <w:r>
        <w:rPr>
          <w:sz w:val="22"/>
        </w:rPr>
        <w:t>rajah). Angka tersebut mestilah berkualiti tinggi dengan resolusi sekurang-kurangnya 300 DPI. Elakkan</w:t>
      </w:r>
      <w:r>
        <w:rPr>
          <w:spacing w:val="1"/>
          <w:sz w:val="22"/>
        </w:rPr>
        <w:t> </w:t>
      </w:r>
      <w:r>
        <w:rPr>
          <w:sz w:val="22"/>
        </w:rPr>
        <w:t>memberikan ilustrasi yang tidak jelas. Angka itu tidak boleh disendengkan, di luar margin dan mesti</w:t>
      </w:r>
      <w:r>
        <w:rPr>
          <w:spacing w:val="1"/>
          <w:sz w:val="22"/>
        </w:rPr>
        <w:t> </w:t>
      </w:r>
      <w:r>
        <w:rPr>
          <w:sz w:val="22"/>
        </w:rPr>
        <w:t>dilihat dengan</w:t>
      </w:r>
      <w:r>
        <w:rPr>
          <w:spacing w:val="-1"/>
          <w:sz w:val="22"/>
        </w:rPr>
        <w:t> </w:t>
      </w:r>
      <w:r>
        <w:rPr>
          <w:sz w:val="22"/>
        </w:rPr>
        <w:t>jelas</w:t>
      </w:r>
      <w:r>
        <w:rPr>
          <w:spacing w:val="-2"/>
          <w:sz w:val="22"/>
        </w:rPr>
        <w:t> </w:t>
      </w:r>
      <w:r>
        <w:rPr>
          <w:sz w:val="22"/>
        </w:rPr>
        <w:t>dalam</w:t>
      </w:r>
      <w:r>
        <w:rPr>
          <w:spacing w:val="-1"/>
          <w:sz w:val="22"/>
        </w:rPr>
        <w:t> </w:t>
      </w:r>
      <w:r>
        <w:rPr>
          <w:sz w:val="22"/>
        </w:rPr>
        <w:t>ilustrasi.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0" w:top="800" w:bottom="280" w:left="1220" w:right="1200"/>
        </w:sectPr>
      </w:pPr>
    </w:p>
    <w:p>
      <w:pPr>
        <w:spacing w:before="35"/>
        <w:ind w:left="169" w:right="0" w:firstLine="0"/>
        <w:jc w:val="left"/>
        <w:rPr>
          <w:b/>
          <w:sz w:val="22"/>
        </w:rPr>
      </w:pPr>
      <w:r>
        <w:rPr/>
        <w:pict>
          <v:rect style="position:absolute;margin-left:72.5pt;margin-top:21.973633pt;width:449.55pt;height: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22"/>
        </w:rPr>
        <w:t>INTERNATIONAL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CONFERENCE </w:t>
      </w:r>
      <w:r>
        <w:rPr>
          <w:b/>
          <w:spacing w:val="-1"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LANGUAGE,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EDUCATION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TOURISM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2023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70"/>
        <w:ind w:left="435" w:right="451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4"/>
          <w:sz w:val="24"/>
        </w:rPr>
        <w:t> </w:t>
      </w:r>
      <w:r>
        <w:rPr>
          <w:sz w:val="24"/>
        </w:rPr>
        <w:t>Contoh</w:t>
      </w:r>
      <w:r>
        <w:rPr>
          <w:spacing w:val="-2"/>
          <w:sz w:val="24"/>
        </w:rPr>
        <w:t> </w:t>
      </w:r>
      <w:r>
        <w:rPr>
          <w:sz w:val="24"/>
        </w:rPr>
        <w:t>Rajah</w:t>
      </w:r>
      <w:r>
        <w:rPr>
          <w:spacing w:val="-2"/>
          <w:sz w:val="24"/>
        </w:rPr>
        <w:t> </w:t>
      </w:r>
      <w:r>
        <w:rPr>
          <w:sz w:val="24"/>
        </w:rPr>
        <w:t>(Calibri,</w:t>
      </w:r>
      <w:r>
        <w:rPr>
          <w:spacing w:val="-2"/>
          <w:sz w:val="24"/>
        </w:rPr>
        <w:t> </w:t>
      </w:r>
      <w:r>
        <w:rPr>
          <w:sz w:val="24"/>
        </w:rPr>
        <w:t>saiz</w:t>
      </w:r>
      <w:r>
        <w:rPr>
          <w:spacing w:val="-2"/>
          <w:sz w:val="24"/>
        </w:rPr>
        <w:t> </w:t>
      </w:r>
      <w:r>
        <w:rPr>
          <w:sz w:val="24"/>
        </w:rPr>
        <w:t>11)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97.5pt;margin-top:9.674219pt;width:416.5pt;height:189.2pt;mso-position-horizontal-relative:page;mso-position-vertical-relative:paragraph;z-index:-15727104;mso-wrap-distance-left:0;mso-wrap-distance-right:0" coordorigin="1950,193" coordsize="8330,3784">
            <v:shape style="position:absolute;left:1950;top:193;width:8330;height:3784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24;top:658;width:1628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IND.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VARIABLE 1</w:t>
                    </w:r>
                  </w:p>
                </w:txbxContent>
              </v:textbox>
              <w10:wrap type="none"/>
            </v:shape>
            <v:shape style="position:absolute;left:2424;top:1990;width:1628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IND.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VARIABLE 2</w:t>
                    </w:r>
                  </w:p>
                </w:txbxContent>
              </v:textbox>
              <w10:wrap type="none"/>
            </v:shape>
            <v:shape style="position:absolute;left:5738;top:1829;width:1173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MEDIATING</w:t>
                    </w:r>
                  </w:p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VARIABLE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452;top:2007;width:147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DEP.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VARIABLE</w:t>
                    </w:r>
                  </w:p>
                </w:txbxContent>
              </v:textbox>
              <w10:wrap type="none"/>
            </v:shape>
            <v:shape style="position:absolute;left:2424;top:3298;width:1628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IND.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VARIABLE 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header="0" w:footer="0" w:top="800" w:bottom="280" w:left="1220" w:right="1200"/>
        </w:sectPr>
      </w:pPr>
    </w:p>
    <w:p>
      <w:pPr>
        <w:spacing w:before="35"/>
        <w:ind w:left="169" w:right="0" w:firstLine="0"/>
        <w:jc w:val="left"/>
        <w:rPr>
          <w:b/>
          <w:sz w:val="22"/>
        </w:rPr>
      </w:pPr>
      <w:r>
        <w:rPr/>
        <w:pict>
          <v:rect style="position:absolute;margin-left:72.5pt;margin-top:21.973633pt;width:449.55pt;height: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22"/>
        </w:rPr>
        <w:t>INTERNATIONAL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CONFERENCE </w:t>
      </w:r>
      <w:r>
        <w:rPr>
          <w:b/>
          <w:spacing w:val="-1"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LANGUAGE,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EDUCATION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TOURISM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2023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7"/>
        </w:rPr>
      </w:pPr>
    </w:p>
    <w:p>
      <w:pPr>
        <w:pStyle w:val="Heading1"/>
        <w:ind w:left="220"/>
      </w:pPr>
      <w:bookmarkStart w:name="PERBINCANGAN" w:id="10"/>
      <w:bookmarkEnd w:id="10"/>
      <w:r>
        <w:rPr>
          <w:b w:val="0"/>
        </w:rPr>
      </w:r>
      <w:r>
        <w:rPr/>
        <w:t>PERBINCANGAN</w:t>
      </w:r>
    </w:p>
    <w:p>
      <w:pPr>
        <w:pStyle w:val="BodyText"/>
        <w:rPr>
          <w:b/>
        </w:rPr>
      </w:pPr>
    </w:p>
    <w:p>
      <w:pPr>
        <w:pStyle w:val="BodyText"/>
        <w:ind w:left="119"/>
      </w:pPr>
      <w:r>
        <w:rPr/>
        <w:t>Perenggan</w:t>
      </w:r>
      <w:r>
        <w:rPr>
          <w:spacing w:val="-3"/>
        </w:rPr>
        <w:t> </w:t>
      </w:r>
      <w:r>
        <w:rPr/>
        <w:t>pertama</w:t>
      </w:r>
      <w:r>
        <w:rPr>
          <w:spacing w:val="-4"/>
        </w:rPr>
        <w:t> </w:t>
      </w:r>
      <w:r>
        <w:rPr/>
        <w:t>selepas</w:t>
      </w:r>
      <w:r>
        <w:rPr>
          <w:spacing w:val="-2"/>
        </w:rPr>
        <w:t> </w:t>
      </w:r>
      <w:r>
        <w:rPr>
          <w:i/>
        </w:rPr>
        <w:t>heading</w:t>
      </w:r>
      <w:r>
        <w:rPr>
          <w:i/>
          <w:spacing w:val="-2"/>
        </w:rPr>
        <w:t> </w:t>
      </w:r>
      <w:r>
        <w:rPr/>
        <w:t>utama.</w:t>
      </w:r>
    </w:p>
    <w:p>
      <w:pPr>
        <w:pStyle w:val="BodyText"/>
        <w:spacing w:before="2"/>
      </w:pPr>
    </w:p>
    <w:p>
      <w:pPr>
        <w:pStyle w:val="Heading1"/>
        <w:ind w:left="220"/>
      </w:pPr>
      <w:bookmarkStart w:name="Heading Kedua" w:id="11"/>
      <w:bookmarkEnd w:id="11"/>
      <w:r>
        <w:rPr>
          <w:b w:val="0"/>
        </w:rPr>
      </w:r>
      <w:r>
        <w:rPr/>
        <w:t>Heading</w:t>
      </w:r>
      <w:r>
        <w:rPr>
          <w:spacing w:val="-6"/>
        </w:rPr>
        <w:t> </w:t>
      </w:r>
      <w:r>
        <w:rPr/>
        <w:t>Kedua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220"/>
      </w:pPr>
      <w:r>
        <w:rPr/>
        <w:t>Perenggan</w:t>
      </w:r>
      <w:r>
        <w:rPr>
          <w:spacing w:val="-6"/>
        </w:rPr>
        <w:t> </w:t>
      </w:r>
      <w:r>
        <w:rPr/>
        <w:t>pertama</w:t>
      </w:r>
      <w:r>
        <w:rPr>
          <w:spacing w:val="-1"/>
        </w:rPr>
        <w:t> </w:t>
      </w:r>
      <w:r>
        <w:rPr/>
        <w:t>selepas</w:t>
      </w:r>
      <w:r>
        <w:rPr>
          <w:spacing w:val="-4"/>
        </w:rPr>
        <w:t> </w:t>
      </w:r>
      <w:r>
        <w:rPr>
          <w:i/>
        </w:rPr>
        <w:t>heading</w:t>
      </w:r>
      <w:r>
        <w:rPr>
          <w:i/>
          <w:spacing w:val="-1"/>
        </w:rPr>
        <w:t> </w:t>
      </w:r>
      <w:r>
        <w:rPr/>
        <w:t>kedua.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ind w:left="119"/>
      </w:pPr>
      <w:bookmarkStart w:name="IMPLIKASI" w:id="12"/>
      <w:bookmarkEnd w:id="12"/>
      <w:r>
        <w:rPr>
          <w:b w:val="0"/>
        </w:rPr>
      </w:r>
      <w:r>
        <w:rPr/>
        <w:t>IMPLIKASI</w:t>
      </w:r>
    </w:p>
    <w:p>
      <w:pPr>
        <w:pStyle w:val="BodyText"/>
        <w:rPr>
          <w:b/>
        </w:rPr>
      </w:pPr>
    </w:p>
    <w:p>
      <w:pPr>
        <w:pStyle w:val="BodyText"/>
        <w:ind w:left="119"/>
      </w:pPr>
      <w:r>
        <w:rPr/>
        <w:t>Perenggan</w:t>
      </w:r>
      <w:r>
        <w:rPr>
          <w:spacing w:val="-3"/>
        </w:rPr>
        <w:t> </w:t>
      </w:r>
      <w:r>
        <w:rPr/>
        <w:t>pertama</w:t>
      </w:r>
      <w:r>
        <w:rPr>
          <w:spacing w:val="-4"/>
        </w:rPr>
        <w:t> </w:t>
      </w:r>
      <w:r>
        <w:rPr/>
        <w:t>selepas</w:t>
      </w:r>
      <w:r>
        <w:rPr>
          <w:spacing w:val="-2"/>
        </w:rPr>
        <w:t> </w:t>
      </w:r>
      <w:r>
        <w:rPr>
          <w:i/>
        </w:rPr>
        <w:t>heading</w:t>
      </w:r>
      <w:r>
        <w:rPr>
          <w:i/>
          <w:spacing w:val="-2"/>
        </w:rPr>
        <w:t> </w:t>
      </w:r>
      <w:r>
        <w:rPr/>
        <w:t>utama.</w:t>
      </w:r>
    </w:p>
    <w:p>
      <w:pPr>
        <w:pStyle w:val="BodyText"/>
        <w:rPr>
          <w:sz w:val="22"/>
        </w:rPr>
      </w:pPr>
    </w:p>
    <w:p>
      <w:pPr>
        <w:pStyle w:val="Heading1"/>
        <w:ind w:left="119"/>
      </w:pPr>
      <w:bookmarkStart w:name="LIMITASI DAN CADANGAN KAJIAN " w:id="13"/>
      <w:bookmarkEnd w:id="13"/>
      <w:r>
        <w:rPr>
          <w:b w:val="0"/>
        </w:rPr>
      </w:r>
      <w:r>
        <w:rPr/>
        <w:t>LIMITASI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CADANGAN</w:t>
      </w:r>
      <w:r>
        <w:rPr>
          <w:spacing w:val="-4"/>
        </w:rPr>
        <w:t> </w:t>
      </w:r>
      <w:r>
        <w:rPr/>
        <w:t>KAJIAN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19"/>
      </w:pPr>
      <w:r>
        <w:rPr/>
        <w:t>Perenggan</w:t>
      </w:r>
      <w:r>
        <w:rPr>
          <w:spacing w:val="-3"/>
        </w:rPr>
        <w:t> </w:t>
      </w:r>
      <w:r>
        <w:rPr/>
        <w:t>pertama</w:t>
      </w:r>
      <w:r>
        <w:rPr>
          <w:spacing w:val="-4"/>
        </w:rPr>
        <w:t> </w:t>
      </w:r>
      <w:r>
        <w:rPr/>
        <w:t>selepas</w:t>
      </w:r>
      <w:r>
        <w:rPr>
          <w:spacing w:val="-2"/>
        </w:rPr>
        <w:t> </w:t>
      </w:r>
      <w:r>
        <w:rPr>
          <w:i/>
        </w:rPr>
        <w:t>heading</w:t>
      </w:r>
      <w:r>
        <w:rPr>
          <w:i/>
          <w:spacing w:val="-2"/>
        </w:rPr>
        <w:t> </w:t>
      </w:r>
      <w:r>
        <w:rPr/>
        <w:t>utama.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119"/>
      </w:pPr>
      <w:bookmarkStart w:name="RUJUKAN" w:id="14"/>
      <w:bookmarkEnd w:id="14"/>
      <w:r>
        <w:rPr>
          <w:b w:val="0"/>
        </w:rPr>
      </w:r>
      <w:r>
        <w:rPr/>
        <w:t>RUJUKAN</w:t>
      </w:r>
    </w:p>
    <w:p>
      <w:pPr>
        <w:pStyle w:val="BodyText"/>
        <w:rPr>
          <w:b/>
        </w:rPr>
      </w:pPr>
    </w:p>
    <w:p>
      <w:pPr>
        <w:pStyle w:val="BodyText"/>
        <w:ind w:left="220"/>
      </w:pPr>
      <w:r>
        <w:rPr/>
        <w:t>*Pengarang</w:t>
      </w:r>
      <w:r>
        <w:rPr>
          <w:spacing w:val="4"/>
        </w:rPr>
        <w:t> </w:t>
      </w:r>
      <w:r>
        <w:rPr/>
        <w:t>harus</w:t>
      </w:r>
      <w:r>
        <w:rPr>
          <w:spacing w:val="7"/>
        </w:rPr>
        <w:t> </w:t>
      </w:r>
      <w:r>
        <w:rPr/>
        <w:t>mengunakan</w:t>
      </w:r>
      <w:r>
        <w:rPr>
          <w:spacing w:val="8"/>
        </w:rPr>
        <w:t> </w:t>
      </w:r>
      <w:r>
        <w:rPr/>
        <w:t>format</w:t>
      </w:r>
      <w:r>
        <w:rPr>
          <w:spacing w:val="6"/>
        </w:rPr>
        <w:t> </w:t>
      </w:r>
      <w:r>
        <w:rPr/>
        <w:t>APA</w:t>
      </w:r>
      <w:r>
        <w:rPr>
          <w:spacing w:val="5"/>
        </w:rPr>
        <w:t> </w:t>
      </w:r>
      <w:r>
        <w:rPr/>
        <w:t>(American</w:t>
      </w:r>
      <w:r>
        <w:rPr>
          <w:spacing w:val="8"/>
        </w:rPr>
        <w:t> </w:t>
      </w:r>
      <w:r>
        <w:rPr/>
        <w:t>Psychological</w:t>
      </w:r>
      <w:r>
        <w:rPr>
          <w:spacing w:val="5"/>
        </w:rPr>
        <w:t> </w:t>
      </w:r>
      <w:r>
        <w:rPr/>
        <w:t>Association).</w:t>
      </w:r>
      <w:r>
        <w:rPr>
          <w:spacing w:val="8"/>
        </w:rPr>
        <w:t> </w:t>
      </w:r>
      <w:r>
        <w:rPr/>
        <w:t>Pastikan</w:t>
      </w:r>
      <w:r>
        <w:rPr>
          <w:spacing w:val="-51"/>
        </w:rPr>
        <w:t> </w:t>
      </w:r>
      <w:r>
        <w:rPr/>
        <w:t>menyusun</w:t>
      </w:r>
      <w:r>
        <w:rPr>
          <w:spacing w:val="-2"/>
        </w:rPr>
        <w:t> </w:t>
      </w:r>
      <w:r>
        <w:rPr/>
        <w:t>rujukan</w:t>
      </w:r>
      <w:r>
        <w:rPr>
          <w:spacing w:val="-1"/>
        </w:rPr>
        <w:t> </w:t>
      </w:r>
      <w:r>
        <w:rPr/>
        <w:t>mengikut</w:t>
      </w:r>
      <w:r>
        <w:rPr>
          <w:spacing w:val="-2"/>
        </w:rPr>
        <w:t> </w:t>
      </w:r>
      <w:r>
        <w:rPr/>
        <w:t>susunan</w:t>
      </w:r>
      <w:r>
        <w:rPr>
          <w:spacing w:val="-1"/>
        </w:rPr>
        <w:t> </w:t>
      </w:r>
      <w:r>
        <w:rPr/>
        <w:t>abjad. Gunakan</w:t>
      </w:r>
      <w:r>
        <w:rPr>
          <w:spacing w:val="-2"/>
        </w:rPr>
        <w:t> </w:t>
      </w:r>
      <w:r>
        <w:rPr/>
        <w:t>-1</w:t>
      </w:r>
      <w:r>
        <w:rPr>
          <w:spacing w:val="-1"/>
        </w:rPr>
        <w:t> </w:t>
      </w:r>
      <w:r>
        <w:rPr/>
        <w:t>cm, saiz</w:t>
      </w:r>
      <w:r>
        <w:rPr>
          <w:spacing w:val="-1"/>
        </w:rPr>
        <w:t> </w:t>
      </w:r>
      <w:r>
        <w:rPr/>
        <w:t>11.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Jurnal:</w:t>
      </w:r>
    </w:p>
    <w:p>
      <w:pPr>
        <w:pStyle w:val="BodyText"/>
        <w:ind w:left="760" w:right="234" w:hanging="540"/>
        <w:jc w:val="both"/>
      </w:pPr>
      <w:r>
        <w:rPr/>
        <w:t>Pérez, A., &amp; Rodriguez del Bosque, I. (2015). Corporate social responsibility and customer</w:t>
      </w:r>
      <w:r>
        <w:rPr>
          <w:spacing w:val="1"/>
        </w:rPr>
        <w:t> </w:t>
      </w:r>
      <w:r>
        <w:rPr/>
        <w:t>loyalty:</w:t>
      </w:r>
      <w:r>
        <w:rPr>
          <w:spacing w:val="-6"/>
        </w:rPr>
        <w:t> </w:t>
      </w:r>
      <w:r>
        <w:rPr/>
        <w:t>exploring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role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identification,</w:t>
      </w:r>
      <w:r>
        <w:rPr>
          <w:spacing w:val="-4"/>
        </w:rPr>
        <w:t> </w:t>
      </w:r>
      <w:r>
        <w:rPr/>
        <w:t>satisfaction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type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company.</w:t>
      </w:r>
      <w:r>
        <w:rPr>
          <w:spacing w:val="4"/>
        </w:rPr>
        <w:t> </w:t>
      </w:r>
      <w:r>
        <w:rPr>
          <w:i/>
        </w:rPr>
        <w:t>Journal of</w:t>
      </w:r>
      <w:r>
        <w:rPr>
          <w:i/>
          <w:spacing w:val="-52"/>
        </w:rPr>
        <w:t> </w:t>
      </w:r>
      <w:r>
        <w:rPr>
          <w:i/>
        </w:rPr>
        <w:t>Services</w:t>
      </w:r>
      <w:r>
        <w:rPr>
          <w:i/>
          <w:spacing w:val="-5"/>
        </w:rPr>
        <w:t> </w:t>
      </w:r>
      <w:r>
        <w:rPr>
          <w:i/>
        </w:rPr>
        <w:t>Marketing</w:t>
      </w:r>
      <w:r>
        <w:rPr/>
        <w:t>,</w:t>
      </w:r>
      <w:r>
        <w:rPr>
          <w:spacing w:val="-2"/>
        </w:rPr>
        <w:t> </w:t>
      </w:r>
      <w:r>
        <w:rPr>
          <w:i/>
        </w:rPr>
        <w:t>29</w:t>
      </w:r>
      <w:r>
        <w:rPr/>
        <w:t>(1),</w:t>
      </w:r>
      <w:r>
        <w:rPr>
          <w:spacing w:val="3"/>
        </w:rPr>
        <w:t> </w:t>
      </w:r>
      <w:r>
        <w:rPr/>
        <w:t>15-25.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Buku:</w:t>
      </w:r>
    </w:p>
    <w:p>
      <w:pPr>
        <w:spacing w:before="0"/>
        <w:ind w:left="760" w:right="0" w:hanging="540"/>
        <w:jc w:val="left"/>
        <w:rPr>
          <w:sz w:val="24"/>
        </w:rPr>
      </w:pPr>
      <w:r>
        <w:rPr>
          <w:sz w:val="24"/>
        </w:rPr>
        <w:t>Calfee,</w:t>
      </w:r>
      <w:r>
        <w:rPr>
          <w:spacing w:val="51"/>
          <w:sz w:val="24"/>
        </w:rPr>
        <w:t> </w:t>
      </w:r>
      <w:r>
        <w:rPr>
          <w:sz w:val="24"/>
        </w:rPr>
        <w:t>R.</w:t>
      </w:r>
      <w:r>
        <w:rPr>
          <w:spacing w:val="2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Valencia,</w:t>
      </w:r>
      <w:r>
        <w:rPr>
          <w:spacing w:val="1"/>
          <w:sz w:val="24"/>
        </w:rPr>
        <w:t> </w:t>
      </w:r>
      <w:r>
        <w:rPr>
          <w:sz w:val="24"/>
        </w:rPr>
        <w:t>R.  R.</w:t>
      </w:r>
      <w:r>
        <w:rPr>
          <w:spacing w:val="2"/>
          <w:sz w:val="24"/>
        </w:rPr>
        <w:t> </w:t>
      </w:r>
      <w:r>
        <w:rPr>
          <w:sz w:val="24"/>
        </w:rPr>
        <w:t>(1991).  </w:t>
      </w:r>
      <w:r>
        <w:rPr>
          <w:i/>
          <w:sz w:val="24"/>
        </w:rPr>
        <w:t>APA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preparing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manuscripts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publication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Washington,</w:t>
      </w:r>
      <w:r>
        <w:rPr>
          <w:spacing w:val="-2"/>
          <w:sz w:val="24"/>
        </w:rPr>
        <w:t> </w:t>
      </w:r>
      <w:r>
        <w:rPr>
          <w:sz w:val="24"/>
        </w:rPr>
        <w:t>DC: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-4"/>
          <w:sz w:val="24"/>
        </w:rPr>
        <w:t> </w:t>
      </w:r>
      <w:r>
        <w:rPr>
          <w:sz w:val="24"/>
        </w:rPr>
        <w:t>Psychological</w:t>
      </w:r>
      <w:r>
        <w:rPr>
          <w:spacing w:val="-2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laman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sesawang:</w:t>
      </w:r>
    </w:p>
    <w:p>
      <w:pPr>
        <w:spacing w:before="0"/>
        <w:ind w:left="760" w:right="0" w:hanging="540"/>
        <w:jc w:val="left"/>
        <w:rPr>
          <w:sz w:val="24"/>
        </w:rPr>
      </w:pPr>
      <w:r>
        <w:rPr>
          <w:sz w:val="24"/>
        </w:rPr>
        <w:t>Bernstein,</w:t>
      </w:r>
      <w:r>
        <w:rPr>
          <w:spacing w:val="14"/>
          <w:sz w:val="24"/>
        </w:rPr>
        <w:t> </w:t>
      </w:r>
      <w:r>
        <w:rPr>
          <w:sz w:val="24"/>
        </w:rPr>
        <w:t>M.</w:t>
      </w:r>
      <w:r>
        <w:rPr>
          <w:spacing w:val="16"/>
          <w:sz w:val="24"/>
        </w:rPr>
        <w:t> </w:t>
      </w:r>
      <w:r>
        <w:rPr>
          <w:sz w:val="24"/>
        </w:rPr>
        <w:t>(2002).</w:t>
      </w:r>
      <w:r>
        <w:rPr>
          <w:spacing w:val="16"/>
          <w:sz w:val="24"/>
        </w:rPr>
        <w:t> </w:t>
      </w:r>
      <w:r>
        <w:rPr>
          <w:sz w:val="24"/>
        </w:rPr>
        <w:t>10</w:t>
      </w:r>
      <w:r>
        <w:rPr>
          <w:spacing w:val="17"/>
          <w:sz w:val="24"/>
        </w:rPr>
        <w:t> </w:t>
      </w:r>
      <w:r>
        <w:rPr>
          <w:sz w:val="24"/>
        </w:rPr>
        <w:t>tips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writing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living</w:t>
      </w:r>
      <w:r>
        <w:rPr>
          <w:spacing w:val="16"/>
          <w:sz w:val="24"/>
        </w:rPr>
        <w:t> </w:t>
      </w:r>
      <w:r>
        <w:rPr>
          <w:sz w:val="24"/>
        </w:rPr>
        <w:t>web.</w:t>
      </w:r>
      <w:r>
        <w:rPr>
          <w:spacing w:val="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Apart: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Websites,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149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hyperlink r:id="rId8">
        <w:r>
          <w:rPr>
            <w:sz w:val="24"/>
          </w:rPr>
          <w:t>http://www.alistapart.com/articles/writeliving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header="0" w:footer="0" w:top="800" w:bottom="280" w:left="1220" w:right="1200"/>
        </w:sectPr>
      </w:pPr>
    </w:p>
    <w:p>
      <w:pPr>
        <w:spacing w:before="25"/>
        <w:ind w:left="1028" w:right="1040" w:firstLine="0"/>
        <w:jc w:val="center"/>
        <w:rPr>
          <w:b/>
          <w:sz w:val="28"/>
        </w:rPr>
      </w:pPr>
      <w:r>
        <w:rPr/>
        <w:pict>
          <v:shape style="position:absolute;margin-left:50.430275pt;margin-top:361.051727pt;width:497.3pt;height:122.65pt;mso-position-horizontal-relative:page;mso-position-vertical-relative:page;z-index:-15973376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>
          <w:b/>
          <w:color w:val="FF0000"/>
          <w:sz w:val="28"/>
        </w:rPr>
        <w:t>A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SAMPLE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OF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AN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EXTENDED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ABSTRACT</w:t>
      </w:r>
    </w:p>
    <w:p>
      <w:pPr>
        <w:pStyle w:val="BodyText"/>
        <w:spacing w:before="5"/>
        <w:rPr>
          <w:b/>
          <w:sz w:val="36"/>
        </w:rPr>
      </w:pPr>
    </w:p>
    <w:p>
      <w:pPr>
        <w:spacing w:before="0"/>
        <w:ind w:left="1028" w:right="1040" w:firstLine="0"/>
        <w:jc w:val="center"/>
        <w:rPr>
          <w:b/>
          <w:sz w:val="28"/>
        </w:rPr>
      </w:pPr>
      <w:r>
        <w:rPr>
          <w:b/>
          <w:sz w:val="28"/>
          <w:shd w:fill="FF9900" w:color="auto" w:val="clear"/>
        </w:rPr>
        <w:t>Divers’</w:t>
      </w:r>
      <w:r>
        <w:rPr>
          <w:b/>
          <w:spacing w:val="-11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Willingness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to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Pay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for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Conservation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Efforts</w:t>
      </w:r>
      <w:r>
        <w:rPr>
          <w:b/>
          <w:spacing w:val="-11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in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Malaysia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ind w:left="1028" w:right="1040"/>
        <w:jc w:val="center"/>
      </w:pPr>
      <w:r>
        <w:rPr/>
        <w:t>Ali Abdul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ind w:left="1028" w:right="1040"/>
        <w:jc w:val="center"/>
      </w:pPr>
      <w:r>
        <w:rPr>
          <w:spacing w:val="-1"/>
        </w:rPr>
        <w:t>University,</w:t>
      </w:r>
      <w:r>
        <w:rPr>
          <w:spacing w:val="-10"/>
        </w:rPr>
        <w:t> </w:t>
      </w:r>
      <w:r>
        <w:rPr/>
        <w:t>Malaysia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28" w:right="1040"/>
        <w:jc w:val="center"/>
      </w:pPr>
      <w:r>
        <w:rPr/>
        <w:t>*Correspondence:</w:t>
      </w:r>
      <w:r>
        <w:rPr>
          <w:spacing w:val="-4"/>
        </w:rPr>
        <w:t> </w:t>
      </w:r>
      <w:hyperlink r:id="rId11">
        <w:r>
          <w:rPr/>
          <w:t>aliabdlim@uni.edu.my</w:t>
        </w:r>
      </w:hyperlink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00" w:right="122"/>
        <w:jc w:val="both"/>
      </w:pPr>
      <w:r>
        <w:rPr>
          <w:b/>
        </w:rPr>
        <w:t>Keywords:</w:t>
      </w:r>
      <w:r>
        <w:rPr>
          <w:b/>
          <w:spacing w:val="1"/>
        </w:rPr>
        <w:t> </w:t>
      </w:r>
      <w:r>
        <w:rPr/>
        <w:t>Conservation;</w:t>
      </w:r>
      <w:r>
        <w:rPr>
          <w:spacing w:val="1"/>
        </w:rPr>
        <w:t> </w:t>
      </w:r>
      <w:r>
        <w:rPr/>
        <w:t>Diver</w:t>
      </w:r>
      <w:r>
        <w:rPr>
          <w:spacing w:val="1"/>
        </w:rPr>
        <w:t> </w:t>
      </w:r>
      <w:r>
        <w:rPr/>
        <w:t>motivation;</w:t>
      </w:r>
      <w:r>
        <w:rPr>
          <w:spacing w:val="1"/>
        </w:rPr>
        <w:t> </w:t>
      </w:r>
      <w:r>
        <w:rPr/>
        <w:t>Diver</w:t>
      </w:r>
      <w:r>
        <w:rPr>
          <w:spacing w:val="1"/>
        </w:rPr>
        <w:t> </w:t>
      </w:r>
      <w:r>
        <w:rPr/>
        <w:t>satisfaction;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underwater</w:t>
      </w:r>
      <w:r>
        <w:rPr>
          <w:spacing w:val="1"/>
        </w:rPr>
        <w:t> </w:t>
      </w:r>
      <w:r>
        <w:rPr/>
        <w:t>behavior;</w:t>
      </w:r>
      <w:r>
        <w:rPr>
          <w:spacing w:val="-1"/>
        </w:rPr>
        <w:t> </w:t>
      </w:r>
      <w:r>
        <w:rPr/>
        <w:t>Willingness to pay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line="276" w:lineRule="auto" w:before="1"/>
        <w:ind w:right="118"/>
        <w:jc w:val="both"/>
      </w:pPr>
      <w:r>
        <w:rPr>
          <w:shd w:fill="FF9900" w:color="auto" w:val="clear"/>
        </w:rPr>
        <w:t>EXTENDED ABSTRACT (The extended abstract can be written in English, Malay or Arabic</w:t>
      </w:r>
      <w:r>
        <w:rPr>
          <w:spacing w:val="1"/>
        </w:rPr>
        <w:t> </w:t>
      </w:r>
      <w:r>
        <w:rPr>
          <w:shd w:fill="FF9900" w:color="auto" w:val="clear"/>
        </w:rPr>
        <w:t>Language</w:t>
      </w:r>
      <w:r>
        <w:rPr>
          <w:spacing w:val="-1"/>
          <w:shd w:fill="FF9900" w:color="auto" w:val="clear"/>
        </w:rPr>
        <w:t> </w:t>
      </w:r>
      <w:r>
        <w:rPr>
          <w:shd w:fill="FF9900" w:color="auto" w:val="clear"/>
        </w:rPr>
        <w:t>with a total of 1,000</w:t>
      </w:r>
      <w:r>
        <w:rPr>
          <w:spacing w:val="-1"/>
          <w:shd w:fill="FF9900" w:color="auto" w:val="clear"/>
        </w:rPr>
        <w:t> </w:t>
      </w:r>
      <w:r>
        <w:rPr>
          <w:shd w:fill="FF9900" w:color="auto" w:val="clear"/>
        </w:rPr>
        <w:t>to 1,500 words)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Malaysia's copious marine resources and favorable climate make it a sought-after location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Diving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(PADI),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2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diving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globally,</w:t>
      </w:r>
      <w:r>
        <w:rPr>
          <w:spacing w:val="1"/>
        </w:rPr>
        <w:t> </w:t>
      </w:r>
      <w:r>
        <w:rPr/>
        <w:t>disclosed that approximately 900,000</w:t>
      </w:r>
      <w:r>
        <w:rPr>
          <w:spacing w:val="1"/>
        </w:rPr>
        <w:t> </w:t>
      </w:r>
      <w:r>
        <w:rPr/>
        <w:t>divers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year,</w:t>
      </w:r>
      <w:r>
        <w:rPr>
          <w:spacing w:val="-2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25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certified</w:t>
      </w:r>
      <w:r>
        <w:rPr>
          <w:spacing w:val="-3"/>
        </w:rPr>
        <w:t> </w:t>
      </w:r>
      <w:r>
        <w:rPr/>
        <w:t>divers</w:t>
      </w:r>
      <w:r>
        <w:rPr>
          <w:spacing w:val="-2"/>
        </w:rPr>
        <w:t> </w:t>
      </w:r>
      <w:r>
        <w:rPr/>
        <w:t>worldwide.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While diving tourism generates employment opportunities and economic activities such as</w:t>
      </w:r>
      <w:r>
        <w:rPr>
          <w:spacing w:val="1"/>
        </w:rPr>
        <w:t> </w:t>
      </w:r>
      <w:r>
        <w:rPr/>
        <w:t>training, underwater guides, dive masters, and boat operators, it is crucial to manage diving</w:t>
      </w:r>
      <w:r>
        <w:rPr>
          <w:spacing w:val="1"/>
        </w:rPr>
        <w:t> </w:t>
      </w:r>
      <w:r>
        <w:rPr/>
        <w:t>sites</w:t>
      </w:r>
      <w:r>
        <w:rPr>
          <w:spacing w:val="8"/>
        </w:rPr>
        <w:t> </w:t>
      </w:r>
      <w:r>
        <w:rPr/>
        <w:t>effectively</w:t>
      </w:r>
      <w:r>
        <w:rPr>
          <w:spacing w:val="9"/>
        </w:rPr>
        <w:t> </w:t>
      </w:r>
      <w:r>
        <w:rPr/>
        <w:t>and</w:t>
      </w:r>
      <w:r>
        <w:rPr>
          <w:spacing w:val="-5"/>
        </w:rPr>
        <w:t> </w:t>
      </w:r>
      <w:r>
        <w:rPr/>
        <w:t>implement</w:t>
      </w:r>
      <w:r>
        <w:rPr>
          <w:spacing w:val="-5"/>
        </w:rPr>
        <w:t> </w:t>
      </w:r>
      <w:r>
        <w:rPr/>
        <w:t>conservation</w:t>
      </w:r>
      <w:r>
        <w:rPr>
          <w:spacing w:val="-5"/>
        </w:rPr>
        <w:t> </w:t>
      </w:r>
      <w:r>
        <w:rPr/>
        <w:t>measures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mitigate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impacts</w:t>
      </w:r>
      <w:r>
        <w:rPr>
          <w:spacing w:val="-5"/>
        </w:rPr>
        <w:t> </w:t>
      </w:r>
      <w:r>
        <w:rPr/>
        <w:t>that</w:t>
      </w:r>
      <w:r>
        <w:rPr>
          <w:spacing w:val="-52"/>
        </w:rPr>
        <w:t> </w:t>
      </w:r>
      <w:r>
        <w:rPr/>
        <w:t>such activities may cause (Booth et al., 2022). The potential environmental drawbacks and</w:t>
      </w:r>
      <w:r>
        <w:rPr>
          <w:spacing w:val="1"/>
        </w:rPr>
        <w:t> </w:t>
      </w:r>
      <w:r>
        <w:rPr/>
        <w:t>adverse effects outweigh the economic and social benefits. For instance, human activities</w:t>
      </w:r>
      <w:r>
        <w:rPr>
          <w:spacing w:val="1"/>
        </w:rPr>
        <w:t> </w:t>
      </w:r>
      <w:r>
        <w:rPr/>
        <w:t>have placed marine species such as sharks, rays, turtles, and cetaceans in perilous situations</w:t>
      </w:r>
      <w:r>
        <w:rPr>
          <w:spacing w:val="-52"/>
        </w:rPr>
        <w:t> </w:t>
      </w:r>
      <w:r>
        <w:rPr/>
        <w:t>(Booth et al., 2022). This research aims to investigate whether the satisfaction, motivation,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fee or</w:t>
      </w:r>
      <w:r>
        <w:rPr>
          <w:spacing w:val="-1"/>
        </w:rPr>
        <w:t> </w:t>
      </w:r>
      <w:r>
        <w:rPr/>
        <w:t>permit in</w:t>
      </w:r>
      <w:r>
        <w:rPr>
          <w:spacing w:val="-1"/>
        </w:rPr>
        <w:t> </w:t>
      </w:r>
      <w:r>
        <w:rPr/>
        <w:t>Malaysian diving destinations.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1"/>
        <w:jc w:val="both"/>
      </w:pPr>
      <w:r>
        <w:rPr>
          <w:shd w:fill="FF9900" w:color="auto" w:val="clear"/>
        </w:rPr>
        <w:t>LITERATURE</w:t>
      </w:r>
      <w:r>
        <w:rPr>
          <w:spacing w:val="-8"/>
          <w:shd w:fill="FF9900" w:color="auto" w:val="clear"/>
        </w:rPr>
        <w:t> </w:t>
      </w:r>
      <w:r>
        <w:rPr>
          <w:shd w:fill="FF9900" w:color="auto" w:val="clear"/>
        </w:rPr>
        <w:t>REVIEW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Willingness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Pay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Activities that utilize marine biodiversity resources in the maritime sector are frequently</w:t>
      </w:r>
      <w:r>
        <w:rPr>
          <w:spacing w:val="1"/>
        </w:rPr>
        <w:t> </w:t>
      </w:r>
      <w:r>
        <w:rPr/>
        <w:t>undervalued as their cost is challenging to rationalize. This could lead to insufficient funding,</w:t>
      </w:r>
      <w:r>
        <w:rPr>
          <w:spacing w:val="-52"/>
        </w:rPr>
        <w:t> </w:t>
      </w:r>
      <w:r>
        <w:rPr/>
        <w:t>resulting</w:t>
      </w:r>
      <w:r>
        <w:rPr>
          <w:spacing w:val="54"/>
        </w:rPr>
        <w:t> </w:t>
      </w:r>
      <w:r>
        <w:rPr/>
        <w:t>in environmental degradation. User fees can assist in marine conservation efforts.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correctly,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conservation.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essential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users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maritime</w:t>
      </w:r>
      <w:r>
        <w:rPr>
          <w:spacing w:val="2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to</w:t>
      </w:r>
      <w:r>
        <w:rPr>
          <w:spacing w:val="41"/>
        </w:rPr>
        <w:t> </w:t>
      </w:r>
      <w:r>
        <w:rPr/>
        <w:t>contribute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its</w:t>
      </w:r>
    </w:p>
    <w:p>
      <w:pPr>
        <w:spacing w:after="0" w:line="276" w:lineRule="auto"/>
        <w:jc w:val="both"/>
        <w:sectPr>
          <w:footerReference w:type="default" r:id="rId9"/>
          <w:footerReference w:type="even" r:id="rId10"/>
          <w:pgSz w:w="11920" w:h="16840"/>
          <w:pgMar w:footer="799" w:header="0" w:top="1420" w:bottom="980" w:left="1340" w:right="1340"/>
        </w:sectPr>
      </w:pPr>
    </w:p>
    <w:p>
      <w:pPr>
        <w:pStyle w:val="BodyText"/>
        <w:spacing w:line="276" w:lineRule="auto" w:before="24"/>
        <w:ind w:left="100" w:right="114"/>
        <w:jc w:val="both"/>
      </w:pPr>
      <w:r>
        <w:rPr/>
        <w:pict>
          <v:shape style="position:absolute;margin-left:50.430275pt;margin-top:361.051727pt;width:497.3pt;height:122.65pt;mso-position-horizontal-relative:page;mso-position-vertical-relative:page;z-index:-15972864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/>
        <w:t>sustainability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fees,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endeavors.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typically</w:t>
      </w:r>
      <w:r>
        <w:rPr>
          <w:spacing w:val="-2"/>
        </w:rPr>
        <w:t> </w:t>
      </w:r>
      <w:r>
        <w:rPr/>
        <w:t>apply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entry,</w:t>
      </w:r>
      <w:r>
        <w:rPr>
          <w:spacing w:val="-2"/>
        </w:rPr>
        <w:t> </w:t>
      </w:r>
      <w:r>
        <w:rPr/>
        <w:t>exit,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diving.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Motivation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Divers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Pay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Most tourism industries use travel motivation to determine tourist engagement and travel</w:t>
      </w:r>
      <w:r>
        <w:rPr>
          <w:spacing w:val="1"/>
        </w:rPr>
        <w:t> </w:t>
      </w:r>
      <w:r>
        <w:rPr/>
        <w:t>patterns. It is a driving factor that encourages tourists to travel to destinations that satisfy</w:t>
      </w:r>
      <w:r>
        <w:rPr>
          <w:spacing w:val="1"/>
        </w:rPr>
        <w:t> </w:t>
      </w:r>
      <w:r>
        <w:rPr/>
        <w:t>their desires. Divers are willing to pay extra for great marine life, decent water conditions,</w:t>
      </w:r>
      <w:r>
        <w:rPr>
          <w:spacing w:val="1"/>
        </w:rPr>
        <w:t> </w:t>
      </w:r>
      <w:r>
        <w:rPr/>
        <w:t>interesting underwater settings and sceneries, and a wide diversity of fishes (Grafeld et al.,</w:t>
      </w:r>
      <w:r>
        <w:rPr>
          <w:spacing w:val="1"/>
        </w:rPr>
        <w:t> </w:t>
      </w:r>
      <w:r>
        <w:rPr/>
        <w:t>2016;</w:t>
      </w:r>
      <w:r>
        <w:rPr>
          <w:spacing w:val="-1"/>
        </w:rPr>
        <w:t> </w:t>
      </w:r>
      <w:r>
        <w:rPr/>
        <w:t>Schuhmann et al., 2019;</w:t>
      </w:r>
      <w:r>
        <w:rPr>
          <w:spacing w:val="-1"/>
        </w:rPr>
        <w:t> </w:t>
      </w:r>
      <w:r>
        <w:rPr/>
        <w:t>Trujillo et al., 2016).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Responsible</w:t>
      </w:r>
      <w:r>
        <w:rPr>
          <w:spacing w:val="-4"/>
        </w:rPr>
        <w:t> </w:t>
      </w:r>
      <w:r>
        <w:rPr/>
        <w:t>Underwater</w:t>
      </w:r>
      <w:r>
        <w:rPr>
          <w:spacing w:val="-4"/>
        </w:rPr>
        <w:t> </w:t>
      </w:r>
      <w:r>
        <w:rPr/>
        <w:t>Behavior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00" w:right="113"/>
        <w:jc w:val="both"/>
      </w:pPr>
      <w:r>
        <w:rPr/>
        <w:t>Incompetence, insufficient scuba diving skills and knowledge, and a lack of specialization</w:t>
      </w:r>
      <w:r>
        <w:rPr>
          <w:spacing w:val="1"/>
        </w:rPr>
        <w:t> </w:t>
      </w:r>
      <w:r>
        <w:rPr/>
        <w:t>among divers have the potential to cause permanent coral damage (Pepe, 2010). Previous</w:t>
      </w:r>
      <w:r>
        <w:rPr>
          <w:spacing w:val="1"/>
        </w:rPr>
        <w:t> </w:t>
      </w:r>
      <w:r>
        <w:rPr/>
        <w:t>studies have established a correlation between divers' specialization and training level and</w:t>
      </w:r>
      <w:r>
        <w:rPr>
          <w:spacing w:val="1"/>
        </w:rPr>
        <w:t> </w:t>
      </w:r>
      <w:r>
        <w:rPr/>
        <w:t>their responsible behavior underwater, indicating that well-educated divers are more likely</w:t>
      </w:r>
      <w:r>
        <w:rPr>
          <w:spacing w:val="1"/>
        </w:rPr>
        <w:t> </w:t>
      </w:r>
      <w:r>
        <w:rPr/>
        <w:t>to be conscientious (Allkins et al., 2021; Thapa et al., 2006). Divers who possess a good</w:t>
      </w:r>
      <w:r>
        <w:rPr>
          <w:spacing w:val="1"/>
        </w:rPr>
        <w:t> </w:t>
      </w:r>
      <w:r>
        <w:rPr/>
        <w:t>education and have undergone training appreciate the environment and are more likely to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conservation initiatives by</w:t>
      </w:r>
      <w:r>
        <w:rPr>
          <w:spacing w:val="-1"/>
        </w:rPr>
        <w:t> </w:t>
      </w:r>
      <w:r>
        <w:rPr/>
        <w:t>paying for them.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Diver</w:t>
      </w:r>
      <w:r>
        <w:rPr>
          <w:spacing w:val="-4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100" w:right="116"/>
        <w:jc w:val="both"/>
      </w:pPr>
      <w:r>
        <w:rPr/>
        <w:t>Research has demonstrated a connection between diver satisfaction and the financing of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efforts.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captivating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 of tourists and divers can optimize profits, benefit the local community, and</w:t>
      </w:r>
      <w:r>
        <w:rPr>
          <w:spacing w:val="1"/>
        </w:rPr>
        <w:t> </w:t>
      </w:r>
      <w:r>
        <w:rPr/>
        <w:t>safeguard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environment</w:t>
      </w:r>
      <w:r>
        <w:rPr>
          <w:spacing w:val="9"/>
        </w:rPr>
        <w:t> </w:t>
      </w:r>
      <w:r>
        <w:rPr/>
        <w:t>(Duran-Roman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5"/>
        </w:rPr>
        <w:t> </w:t>
      </w:r>
      <w:r>
        <w:rPr/>
        <w:t>2021).</w:t>
      </w:r>
      <w:r>
        <w:rPr>
          <w:spacing w:val="-5"/>
        </w:rPr>
        <w:t> </w:t>
      </w:r>
      <w:r>
        <w:rPr/>
        <w:t>Contented</w:t>
      </w:r>
      <w:r>
        <w:rPr>
          <w:spacing w:val="-5"/>
        </w:rPr>
        <w:t> </w:t>
      </w:r>
      <w:r>
        <w:rPr/>
        <w:t>tourists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willing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pay</w:t>
      </w:r>
      <w:r>
        <w:rPr>
          <w:spacing w:val="-52"/>
        </w:rPr>
        <w:t> </w:t>
      </w:r>
      <w:r>
        <w:rPr/>
        <w:t>more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travel</w:t>
      </w:r>
      <w:r>
        <w:rPr>
          <w:spacing w:val="-3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mitigate</w:t>
      </w:r>
      <w:r>
        <w:rPr>
          <w:spacing w:val="-3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impacts</w:t>
      </w:r>
      <w:r>
        <w:rPr>
          <w:spacing w:val="-3"/>
        </w:rPr>
        <w:t> </w:t>
      </w:r>
      <w:r>
        <w:rPr/>
        <w:t>(Yu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3"/>
        </w:rPr>
        <w:t> </w:t>
      </w:r>
      <w:r>
        <w:rPr/>
        <w:t>2018).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r>
        <w:rPr/>
        <w:t>Research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2"/>
        <w:rPr>
          <w:b/>
          <w:sz w:val="31"/>
        </w:rPr>
      </w:pPr>
    </w:p>
    <w:p>
      <w:pPr>
        <w:tabs>
          <w:tab w:pos="819" w:val="left" w:leader="none"/>
        </w:tabs>
        <w:spacing w:line="276" w:lineRule="auto" w:before="0"/>
        <w:ind w:left="100" w:right="113" w:firstLine="0"/>
        <w:jc w:val="left"/>
        <w:rPr>
          <w:i/>
          <w:sz w:val="24"/>
        </w:rPr>
      </w:pPr>
      <w:r>
        <w:rPr>
          <w:b/>
          <w:i/>
          <w:sz w:val="24"/>
        </w:rPr>
        <w:t>H1</w:t>
        <w:tab/>
      </w:r>
      <w:r>
        <w:rPr>
          <w:i/>
          <w:sz w:val="24"/>
        </w:rPr>
        <w:t>Motivation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divers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engage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dive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expedition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affects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divers’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willingness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conservation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efforts.</w:t>
      </w:r>
    </w:p>
    <w:p>
      <w:pPr>
        <w:tabs>
          <w:tab w:pos="819" w:val="left" w:leader="none"/>
        </w:tabs>
        <w:spacing w:line="276" w:lineRule="auto" w:before="44"/>
        <w:ind w:left="100" w:right="123" w:firstLine="0"/>
        <w:jc w:val="left"/>
        <w:rPr>
          <w:i/>
          <w:sz w:val="24"/>
        </w:rPr>
      </w:pPr>
      <w:r>
        <w:rPr>
          <w:b/>
          <w:i/>
          <w:sz w:val="24"/>
        </w:rPr>
        <w:t>H2</w:t>
        <w:tab/>
      </w:r>
      <w:r>
        <w:rPr>
          <w:i/>
          <w:sz w:val="24"/>
        </w:rPr>
        <w:t>Divers’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responsible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underwater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affects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divers’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willingness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conservation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efforts.</w:t>
      </w:r>
    </w:p>
    <w:p>
      <w:pPr>
        <w:tabs>
          <w:tab w:pos="819" w:val="left" w:leader="none"/>
        </w:tabs>
        <w:spacing w:before="44"/>
        <w:ind w:left="100" w:right="0" w:firstLine="0"/>
        <w:jc w:val="left"/>
        <w:rPr>
          <w:i/>
          <w:sz w:val="24"/>
        </w:rPr>
      </w:pPr>
      <w:r>
        <w:rPr>
          <w:b/>
          <w:i/>
          <w:sz w:val="24"/>
        </w:rPr>
        <w:t>H3</w:t>
        <w:tab/>
      </w:r>
      <w:r>
        <w:rPr>
          <w:i/>
          <w:sz w:val="24"/>
        </w:rPr>
        <w:t>Diver’s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affects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divers’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willingness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conservation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efforts.</w:t>
      </w:r>
    </w:p>
    <w:p>
      <w:pPr>
        <w:spacing w:after="0"/>
        <w:jc w:val="left"/>
        <w:rPr>
          <w:sz w:val="24"/>
        </w:rPr>
        <w:sectPr>
          <w:pgSz w:w="11920" w:h="16840"/>
          <w:pgMar w:header="0" w:footer="799" w:top="1420" w:bottom="980" w:left="1340" w:right="1340"/>
        </w:sectPr>
      </w:pPr>
    </w:p>
    <w:p>
      <w:pPr>
        <w:pStyle w:val="Heading1"/>
        <w:spacing w:before="24"/>
        <w:jc w:val="both"/>
      </w:pPr>
      <w:r>
        <w:rPr/>
        <w:pict>
          <v:shape style="position:absolute;margin-left:50.430275pt;margin-top:361.051849pt;width:497.3pt;height:122.65pt;mso-position-horizontal-relative:page;mso-position-vertical-relative:page;z-index:-15972352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>
          <w:shd w:fill="FF9900" w:color="auto" w:val="clear"/>
        </w:rPr>
        <w:t>RESEARCH</w:t>
      </w:r>
      <w:r>
        <w:rPr>
          <w:spacing w:val="-4"/>
          <w:shd w:fill="FF9900" w:color="auto" w:val="clear"/>
        </w:rPr>
        <w:t> </w:t>
      </w:r>
      <w:r>
        <w:rPr>
          <w:shd w:fill="FF9900" w:color="auto" w:val="clear"/>
        </w:rPr>
        <w:t>METHOD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00" w:right="113"/>
        <w:jc w:val="both"/>
      </w:pPr>
      <w:r>
        <w:rPr/>
        <w:t>The aim of this study is to gather quantitative data from a group of divers who have visited</w:t>
      </w:r>
      <w:r>
        <w:rPr>
          <w:spacing w:val="1"/>
        </w:rPr>
        <w:t> </w:t>
      </w:r>
      <w:r>
        <w:rPr/>
        <w:t>diving sites in Malaysia. The study's minimum sample size of 74 respondents is based on the</w:t>
      </w:r>
      <w:r>
        <w:rPr>
          <w:spacing w:val="1"/>
        </w:rPr>
        <w:t> </w:t>
      </w:r>
      <w:r>
        <w:rPr/>
        <w:t>recommendations of Tabachnick and Fidell (2007). To collect data, a non-probability survey</w:t>
      </w:r>
      <w:r>
        <w:rPr>
          <w:spacing w:val="1"/>
        </w:rPr>
        <w:t> </w:t>
      </w:r>
      <w:r>
        <w:rPr/>
        <w:t>questionnaire was utilized. Given the constraints of the COVID-19 pandemic, the Google</w:t>
      </w:r>
      <w:r>
        <w:rPr>
          <w:spacing w:val="1"/>
        </w:rPr>
        <w:t> </w:t>
      </w:r>
      <w:r>
        <w:rPr/>
        <w:t>Form was selected as the data collection tool. The survey was distributed through several</w:t>
      </w:r>
      <w:r>
        <w:rPr>
          <w:spacing w:val="1"/>
        </w:rPr>
        <w:t> </w:t>
      </w:r>
      <w:r>
        <w:rPr/>
        <w:t>Malaysian scuba social media groups such as Scubajunkie, Malaysia Diving Community, and</w:t>
      </w:r>
      <w:r>
        <w:rPr>
          <w:spacing w:val="1"/>
        </w:rPr>
        <w:t> </w:t>
      </w:r>
      <w:r>
        <w:rPr/>
        <w:t>@clubnomad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WhatsApp,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potential respondents. IBM SPSS Statistics version 26 was employed to analyze the acquired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measurement scale for domestic divers' motivation was adapted and adopted from</w:t>
      </w:r>
      <w:r>
        <w:rPr>
          <w:spacing w:val="1"/>
        </w:rPr>
        <w:t> </w:t>
      </w:r>
      <w:r>
        <w:rPr/>
        <w:t>Carvache-Franco et al. (2020), while the measurement of divers' responsible underwater</w:t>
      </w:r>
      <w:r>
        <w:rPr>
          <w:spacing w:val="1"/>
        </w:rPr>
        <w:t> </w:t>
      </w:r>
      <w:r>
        <w:rPr/>
        <w:t>behavior was based on Allkins et al. (2021). The satisfaction of divers was assessed using</w:t>
      </w:r>
      <w:r>
        <w:rPr>
          <w:spacing w:val="1"/>
        </w:rPr>
        <w:t> </w:t>
      </w:r>
      <w:r>
        <w:rPr/>
        <w:t>Musa et al. (2008), while the willingness of divers to pay for conservation activities was</w:t>
      </w:r>
      <w:r>
        <w:rPr>
          <w:spacing w:val="1"/>
        </w:rPr>
        <w:t> </w:t>
      </w:r>
      <w:r>
        <w:rPr/>
        <w:t>evaluated using Pedroso and Biu Kung'u (2019) and Schuhmann et al. (2019). Furthermore,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 of conservation fees and their stance on paying for marine park conservation</w:t>
      </w:r>
      <w:r>
        <w:rPr>
          <w:spacing w:val="1"/>
        </w:rPr>
        <w:t> </w:t>
      </w:r>
      <w:r>
        <w:rPr/>
        <w:t>fees.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scales,</w:t>
      </w:r>
      <w:r>
        <w:rPr>
          <w:spacing w:val="-3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deviation,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5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1.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1028" w:right="1040"/>
        <w:jc w:val="center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968714</wp:posOffset>
            </wp:positionH>
            <wp:positionV relativeFrom="paragraph">
              <wp:posOffset>244183</wp:posOffset>
            </wp:positionV>
            <wp:extent cx="5656467" cy="85526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467" cy="85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8"/>
        </w:rPr>
        <w:t> </w:t>
      </w:r>
      <w:r>
        <w:rPr/>
        <w:t>1:</w:t>
      </w:r>
      <w:r>
        <w:rPr>
          <w:spacing w:val="-7"/>
        </w:rPr>
        <w:t> </w:t>
      </w:r>
      <w:r>
        <w:rPr/>
        <w:t>Descriptive</w:t>
      </w:r>
      <w:r>
        <w:rPr>
          <w:spacing w:val="-7"/>
        </w:rPr>
        <w:t> </w:t>
      </w:r>
      <w:r>
        <w:rPr/>
        <w:t>Statistics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line="276" w:lineRule="auto" w:before="0"/>
        <w:ind w:left="100" w:right="118" w:firstLine="0"/>
        <w:jc w:val="both"/>
        <w:rPr>
          <w:sz w:val="22"/>
        </w:rPr>
      </w:pPr>
      <w:r>
        <w:rPr>
          <w:sz w:val="22"/>
        </w:rPr>
        <w:t>Note: WTP - Willingness to Pay, MD - Motivation of Divers, RUB - Responsible Underwater Behavior,</w:t>
      </w:r>
      <w:r>
        <w:rPr>
          <w:spacing w:val="1"/>
          <w:sz w:val="22"/>
        </w:rPr>
        <w:t> </w:t>
      </w:r>
      <w:r>
        <w:rPr>
          <w:sz w:val="22"/>
        </w:rPr>
        <w:t>DS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Diver</w:t>
      </w:r>
      <w:r>
        <w:rPr>
          <w:spacing w:val="-1"/>
          <w:sz w:val="22"/>
        </w:rPr>
        <w:t> </w:t>
      </w:r>
      <w:r>
        <w:rPr>
          <w:sz w:val="22"/>
        </w:rPr>
        <w:t>Satisfaction.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jc w:val="both"/>
      </w:pPr>
      <w:r>
        <w:rPr/>
        <w:t>Sample</w:t>
      </w:r>
      <w:r>
        <w:rPr>
          <w:spacing w:val="-2"/>
        </w:rPr>
        <w:t> </w:t>
      </w:r>
      <w:r>
        <w:rPr/>
        <w:t>Profile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00" w:right="115"/>
        <w:jc w:val="both"/>
      </w:pPr>
      <w:r>
        <w:rPr/>
        <w:t>Out of the total number of participants, which was 110, the majority were males, making up</w:t>
      </w:r>
      <w:r>
        <w:rPr>
          <w:spacing w:val="-52"/>
        </w:rPr>
        <w:t> </w:t>
      </w:r>
      <w:r>
        <w:rPr/>
        <w:t>54.5% of the sample. The largest age group was those aged between 41 and 50, 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34.30%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 and pensioners comprising 16.4% and 8.2% of the sample, respectively. More than</w:t>
      </w:r>
      <w:r>
        <w:rPr>
          <w:spacing w:val="1"/>
        </w:rPr>
        <w:t> </w:t>
      </w:r>
      <w:r>
        <w:rPr/>
        <w:t>half (54%) of the respondents had a monthly income of over RM 6,000, while only 24.5%</w:t>
      </w:r>
      <w:r>
        <w:rPr>
          <w:spacing w:val="1"/>
        </w:rPr>
        <w:t> </w:t>
      </w:r>
      <w:r>
        <w:rPr/>
        <w:t>earned less than RM 1,500 per month. The majority of the participants (47.3%) held an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Diver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dived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4-to-6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divers</w:t>
      </w:r>
      <w:r>
        <w:rPr>
          <w:spacing w:val="1"/>
        </w:rPr>
        <w:t> </w:t>
      </w:r>
      <w:r>
        <w:rPr/>
        <w:t>(50.9%).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vacation</w:t>
      </w:r>
      <w:r>
        <w:rPr>
          <w:spacing w:val="-3"/>
        </w:rPr>
        <w:t> </w:t>
      </w:r>
      <w:r>
        <w:rPr/>
        <w:t>duration,</w:t>
      </w:r>
      <w:r>
        <w:rPr>
          <w:spacing w:val="-3"/>
        </w:rPr>
        <w:t> </w:t>
      </w:r>
      <w:r>
        <w:rPr/>
        <w:t>61.8%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chose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stay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4-to-6</w:t>
      </w:r>
      <w:r>
        <w:rPr>
          <w:spacing w:val="-3"/>
        </w:rPr>
        <w:t> </w:t>
      </w:r>
      <w:r>
        <w:rPr/>
        <w:t>days.</w:t>
      </w:r>
    </w:p>
    <w:p>
      <w:pPr>
        <w:spacing w:after="0" w:line="276" w:lineRule="auto"/>
        <w:jc w:val="both"/>
        <w:sectPr>
          <w:footerReference w:type="default" r:id="rId12"/>
          <w:footerReference w:type="even" r:id="rId13"/>
          <w:pgSz w:w="11920" w:h="16840"/>
          <w:pgMar w:footer="799" w:header="0" w:top="1420" w:bottom="980" w:left="1340" w:right="1340"/>
          <w:pgNumType w:start="3"/>
        </w:sectPr>
      </w:pPr>
    </w:p>
    <w:p>
      <w:pPr>
        <w:pStyle w:val="Heading1"/>
        <w:spacing w:before="24"/>
      </w:pPr>
      <w:r>
        <w:rPr/>
        <w:pict>
          <v:shape style="position:absolute;margin-left:50.430275pt;margin-top:361.051849pt;width:497.3pt;height:122.65pt;mso-position-horizontal-relative:page;mso-position-vertical-relative:page;z-index:-15971328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>
          <w:shd w:fill="FF9900" w:color="auto" w:val="clear"/>
        </w:rPr>
        <w:t>RESULTS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Multiple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Regression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The model's R-square value was able to account for 53.5% of the variation in the willingness</w:t>
      </w:r>
      <w:r>
        <w:rPr>
          <w:spacing w:val="1"/>
        </w:rPr>
        <w:t> </w:t>
      </w:r>
      <w:r>
        <w:rPr/>
        <w:t>to pay for conservation efforts. The independent variables' tolerance values were all greater</w:t>
      </w:r>
      <w:r>
        <w:rPr>
          <w:spacing w:val="-52"/>
        </w:rPr>
        <w:t> </w:t>
      </w:r>
      <w:r>
        <w:rPr/>
        <w:t>than</w:t>
      </w:r>
      <w:r>
        <w:rPr>
          <w:spacing w:val="1"/>
        </w:rPr>
        <w:t> </w:t>
      </w:r>
      <w:r>
        <w:rPr/>
        <w:t>.10,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 issue of</w:t>
      </w:r>
      <w:r>
        <w:rPr>
          <w:spacing w:val="1"/>
        </w:rPr>
        <w:t> </w:t>
      </w:r>
      <w:r>
        <w:rPr/>
        <w:t>multicollinearity.</w:t>
      </w:r>
    </w:p>
    <w:p>
      <w:pPr>
        <w:pStyle w:val="BodyText"/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ind w:left="1028" w:right="1040"/>
        <w:jc w:val="center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950498</wp:posOffset>
            </wp:positionH>
            <wp:positionV relativeFrom="paragraph">
              <wp:posOffset>247219</wp:posOffset>
            </wp:positionV>
            <wp:extent cx="5699952" cy="699312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952" cy="6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6"/>
        </w:rPr>
        <w:t> </w:t>
      </w:r>
      <w:r>
        <w:rPr/>
        <w:t>2:</w:t>
      </w:r>
      <w:r>
        <w:rPr>
          <w:spacing w:val="-6"/>
        </w:rPr>
        <w:t> </w:t>
      </w:r>
      <w:r>
        <w:rPr/>
        <w:t>Coefficient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276" w:lineRule="auto" w:before="170"/>
        <w:ind w:left="100" w:right="118" w:firstLine="0"/>
        <w:jc w:val="both"/>
        <w:rPr>
          <w:sz w:val="22"/>
        </w:rPr>
      </w:pPr>
      <w:r>
        <w:rPr>
          <w:sz w:val="22"/>
        </w:rPr>
        <w:t>Note: WTP - Willingness to Pay, MD - Motivation of Divers, RUB - Responsible Underwater Behavior,</w:t>
      </w:r>
      <w:r>
        <w:rPr>
          <w:spacing w:val="1"/>
          <w:sz w:val="22"/>
        </w:rPr>
        <w:t> </w:t>
      </w:r>
      <w:r>
        <w:rPr>
          <w:sz w:val="22"/>
        </w:rPr>
        <w:t>DS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Diver</w:t>
      </w:r>
      <w:r>
        <w:rPr>
          <w:spacing w:val="-2"/>
          <w:sz w:val="22"/>
        </w:rPr>
        <w:t> </w:t>
      </w:r>
      <w:r>
        <w:rPr>
          <w:sz w:val="22"/>
        </w:rPr>
        <w:t>Satisfaction.</w:t>
      </w:r>
      <w:r>
        <w:rPr>
          <w:spacing w:val="-3"/>
          <w:sz w:val="22"/>
        </w:rPr>
        <w:t> </w:t>
      </w:r>
      <w:r>
        <w:rPr>
          <w:sz w:val="22"/>
        </w:rPr>
        <w:t>a.</w:t>
      </w:r>
      <w:r>
        <w:rPr>
          <w:spacing w:val="-2"/>
          <w:sz w:val="22"/>
        </w:rPr>
        <w:t> </w:t>
      </w:r>
      <w:r>
        <w:rPr>
          <w:sz w:val="22"/>
        </w:rPr>
        <w:t>Dependent</w:t>
      </w:r>
      <w:r>
        <w:rPr>
          <w:spacing w:val="-2"/>
          <w:sz w:val="22"/>
        </w:rPr>
        <w:t> </w:t>
      </w:r>
      <w:r>
        <w:rPr>
          <w:sz w:val="22"/>
        </w:rPr>
        <w:t>Variable:</w:t>
      </w:r>
      <w:r>
        <w:rPr>
          <w:spacing w:val="-2"/>
          <w:sz w:val="22"/>
        </w:rPr>
        <w:t> </w:t>
      </w:r>
      <w:r>
        <w:rPr>
          <w:sz w:val="22"/>
        </w:rPr>
        <w:t>Willingness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Pay.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jc w:val="both"/>
      </w:pPr>
      <w:r>
        <w:rPr/>
        <w:t>Hypotheses</w:t>
      </w:r>
      <w:r>
        <w:rPr>
          <w:spacing w:val="-10"/>
        </w:rPr>
        <w:t> </w:t>
      </w:r>
      <w:r>
        <w:rPr/>
        <w:t>Testing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divers'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inclination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pay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conservation</w:t>
      </w:r>
      <w:r>
        <w:rPr>
          <w:spacing w:val="12"/>
        </w:rPr>
        <w:t> </w:t>
      </w:r>
      <w:r>
        <w:rPr/>
        <w:t>activities,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beta</w:t>
      </w:r>
      <w:r>
        <w:rPr>
          <w:spacing w:val="11"/>
        </w:rPr>
        <w:t> </w:t>
      </w: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.649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p-value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line="276" w:lineRule="auto"/>
        <w:ind w:left="100" w:right="112"/>
        <w:jc w:val="both"/>
      </w:pPr>
      <w:r>
        <w:rPr/>
        <w:t>.000, thereby supporting H1. Furthermore, the outcomes revealed a positive link between</w:t>
      </w:r>
      <w:r>
        <w:rPr>
          <w:spacing w:val="1"/>
        </w:rPr>
        <w:t> </w:t>
      </w:r>
      <w:r>
        <w:rPr/>
        <w:t>responsible</w:t>
      </w:r>
      <w:r>
        <w:rPr>
          <w:spacing w:val="10"/>
        </w:rPr>
        <w:t> </w:t>
      </w:r>
      <w:r>
        <w:rPr/>
        <w:t>underwater</w:t>
      </w:r>
      <w:r>
        <w:rPr>
          <w:spacing w:val="10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willingness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initiatives,</w:t>
      </w:r>
      <w:r>
        <w:rPr>
          <w:spacing w:val="-4"/>
        </w:rPr>
        <w:t> </w:t>
      </w:r>
      <w:r>
        <w:rPr/>
        <w:t>with</w:t>
      </w:r>
      <w:r>
        <w:rPr>
          <w:spacing w:val="-52"/>
        </w:rPr>
        <w:t> </w:t>
      </w:r>
      <w:r>
        <w:rPr/>
        <w:t>a</w:t>
      </w:r>
      <w:r>
        <w:rPr>
          <w:spacing w:val="10"/>
        </w:rPr>
        <w:t> </w:t>
      </w:r>
      <w:r>
        <w:rPr/>
        <w:t>beta</w:t>
      </w:r>
      <w:r>
        <w:rPr>
          <w:spacing w:val="10"/>
        </w:rPr>
        <w:t> </w:t>
      </w:r>
      <w:r>
        <w:rPr/>
        <w:t>value</w:t>
      </w:r>
      <w:r>
        <w:rPr>
          <w:spacing w:val="10"/>
        </w:rPr>
        <w:t> </w:t>
      </w:r>
      <w:r>
        <w:rPr/>
        <w:t>of</w:t>
      </w:r>
      <w:r>
        <w:rPr>
          <w:spacing w:val="-4"/>
        </w:rPr>
        <w:t> </w:t>
      </w:r>
      <w:r>
        <w:rPr/>
        <w:t>.168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p-value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.016,</w:t>
      </w:r>
      <w:r>
        <w:rPr>
          <w:spacing w:val="-4"/>
        </w:rPr>
        <w:t> </w:t>
      </w:r>
      <w:r>
        <w:rPr/>
        <w:t>confirming</w:t>
      </w:r>
      <w:r>
        <w:rPr>
          <w:spacing w:val="-4"/>
        </w:rPr>
        <w:t> </w:t>
      </w:r>
      <w:r>
        <w:rPr/>
        <w:t>H2.</w:t>
      </w:r>
      <w:r>
        <w:rPr>
          <w:spacing w:val="-3"/>
        </w:rPr>
        <w:t> </w:t>
      </w:r>
      <w:r>
        <w:rPr/>
        <w:t>Conversely,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apparent</w:t>
      </w:r>
      <w:r>
        <w:rPr>
          <w:spacing w:val="-52"/>
        </w:rPr>
        <w:t> </w:t>
      </w:r>
      <w:r>
        <w:rPr/>
        <w:t>connection between diver satisfaction and willingness to pay, as evidenced by a beta 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.057 and a p-value of</w:t>
      </w:r>
      <w:r>
        <w:rPr>
          <w:spacing w:val="-1"/>
        </w:rPr>
        <w:t> </w:t>
      </w:r>
      <w:r>
        <w:rPr/>
        <w:t>.429, leading to the rejection</w:t>
      </w:r>
      <w:r>
        <w:rPr>
          <w:spacing w:val="-1"/>
        </w:rPr>
        <w:t> </w:t>
      </w:r>
      <w:r>
        <w:rPr/>
        <w:t>of H3.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>
          <w:shd w:fill="FF9900" w:color="auto" w:val="clear"/>
        </w:rPr>
        <w:t>DISCUSSIONS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00" w:right="117"/>
        <w:jc w:val="both"/>
      </w:pPr>
      <w:r>
        <w:rPr/>
        <w:t>The findings of this study are consistent with previous research (Roberts et al., 2017), 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divers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reefs,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biodiversity.</w:t>
      </w:r>
      <w:r>
        <w:rPr>
          <w:spacing w:val="1"/>
        </w:rPr>
        <w:t> </w:t>
      </w:r>
      <w:r>
        <w:rPr/>
        <w:t>Divers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 strong appreciation for the natural environment and its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conservation efforts (Schuhmann et al., 2019). Moreover, environmentally conscious divers</w:t>
      </w:r>
      <w:r>
        <w:rPr>
          <w:spacing w:val="1"/>
        </w:rPr>
        <w:t> </w:t>
      </w:r>
      <w:r>
        <w:rPr/>
        <w:t>tend</w:t>
      </w:r>
      <w:r>
        <w:rPr>
          <w:spacing w:val="-1"/>
        </w:rPr>
        <w:t> </w:t>
      </w:r>
      <w:r>
        <w:rPr/>
        <w:t>to behave more responsibly</w:t>
      </w:r>
      <w:r>
        <w:rPr>
          <w:spacing w:val="-1"/>
        </w:rPr>
        <w:t> </w:t>
      </w:r>
      <w:r>
        <w:rPr/>
        <w:t>while diving.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12"/>
        <w:jc w:val="both"/>
      </w:pPr>
      <w:r>
        <w:rPr/>
        <w:t>Previous studies have also found a correlation between environmental consciousness and</w:t>
      </w:r>
      <w:r>
        <w:rPr>
          <w:spacing w:val="1"/>
        </w:rPr>
        <w:t> </w:t>
      </w:r>
      <w:r>
        <w:rPr/>
        <w:t>the willingness to contribute to marine conservation efforts (Daly et al., 2015; Yu et al.,</w:t>
      </w:r>
      <w:r>
        <w:rPr>
          <w:spacing w:val="1"/>
        </w:rPr>
        <w:t> </w:t>
      </w:r>
      <w:r>
        <w:rPr/>
        <w:t>2018). Moreover, research suggests that education plays a role in environmental awareness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participation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conservation</w:t>
      </w:r>
      <w:r>
        <w:rPr>
          <w:spacing w:val="41"/>
        </w:rPr>
        <w:t> </w:t>
      </w:r>
      <w:r>
        <w:rPr/>
        <w:t>activities</w:t>
      </w:r>
      <w:r>
        <w:rPr>
          <w:spacing w:val="40"/>
        </w:rPr>
        <w:t> </w:t>
      </w:r>
      <w:r>
        <w:rPr/>
        <w:t>(Arin</w:t>
      </w:r>
      <w:r>
        <w:rPr>
          <w:spacing w:val="41"/>
        </w:rPr>
        <w:t> </w:t>
      </w:r>
      <w:r>
        <w:rPr/>
        <w:t>&amp;</w:t>
      </w:r>
      <w:r>
        <w:rPr>
          <w:spacing w:val="40"/>
        </w:rPr>
        <w:t> </w:t>
      </w:r>
      <w:r>
        <w:rPr/>
        <w:t>Kramer,</w:t>
      </w:r>
      <w:r>
        <w:rPr>
          <w:spacing w:val="26"/>
        </w:rPr>
        <w:t> </w:t>
      </w:r>
      <w:r>
        <w:rPr/>
        <w:t>2002).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worth</w:t>
      </w:r>
      <w:r>
        <w:rPr>
          <w:spacing w:val="26"/>
        </w:rPr>
        <w:t> </w:t>
      </w:r>
      <w:r>
        <w:rPr/>
        <w:t>noting</w:t>
      </w:r>
      <w:r>
        <w:rPr>
          <w:spacing w:val="27"/>
        </w:rPr>
        <w:t> </w:t>
      </w:r>
      <w:r>
        <w:rPr/>
        <w:t>that</w:t>
      </w:r>
    </w:p>
    <w:p>
      <w:pPr>
        <w:spacing w:after="0" w:line="276" w:lineRule="auto"/>
        <w:jc w:val="both"/>
        <w:sectPr>
          <w:pgSz w:w="11920" w:h="16840"/>
          <w:pgMar w:header="0" w:footer="799" w:top="1420" w:bottom="980" w:left="1340" w:right="1340"/>
        </w:sectPr>
      </w:pPr>
    </w:p>
    <w:p>
      <w:pPr>
        <w:pStyle w:val="BodyText"/>
        <w:spacing w:line="276" w:lineRule="auto" w:before="24"/>
        <w:ind w:left="100" w:right="115"/>
        <w:jc w:val="both"/>
      </w:pPr>
      <w:r>
        <w:rPr/>
        <w:pict>
          <v:shape style="position:absolute;margin-left:50.430275pt;margin-top:361.051605pt;width:497.3pt;height:122.65pt;mso-position-horizontal-relative:page;mso-position-vertical-relative:page;z-index:15734272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/>
        <w:t>while the divers in this study reported high levels of satisfaction with their diving experience</w:t>
      </w:r>
      <w:r>
        <w:rPr>
          <w:spacing w:val="-52"/>
        </w:rPr>
        <w:t> </w:t>
      </w:r>
      <w:r>
        <w:rPr/>
        <w:t>and the services provided, this did not necessarily translate into a strong desire to support</w:t>
      </w:r>
      <w:r>
        <w:rPr>
          <w:spacing w:val="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efforts.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jc w:val="both"/>
      </w:pPr>
      <w:r>
        <w:rPr>
          <w:shd w:fill="FF9900" w:color="auto" w:val="clear"/>
        </w:rPr>
        <w:t>FUTURE</w:t>
      </w:r>
      <w:r>
        <w:rPr>
          <w:spacing w:val="-4"/>
          <w:shd w:fill="FF9900" w:color="auto" w:val="clear"/>
        </w:rPr>
        <w:t> </w:t>
      </w:r>
      <w:r>
        <w:rPr>
          <w:shd w:fill="FF9900" w:color="auto" w:val="clear"/>
        </w:rPr>
        <w:t>RESEARCH</w:t>
      </w:r>
      <w:r>
        <w:rPr>
          <w:spacing w:val="-3"/>
          <w:shd w:fill="FF9900" w:color="auto" w:val="clear"/>
        </w:rPr>
        <w:t> </w:t>
      </w:r>
      <w:r>
        <w:rPr>
          <w:shd w:fill="FF9900" w:color="auto" w:val="clear"/>
        </w:rPr>
        <w:t>DIRECTIONS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Further investigation is required to apply the results more broadly. Policy objectives, such as</w:t>
      </w:r>
      <w:r>
        <w:rPr>
          <w:spacing w:val="-52"/>
        </w:rPr>
        <w:t> </w:t>
      </w:r>
      <w:r>
        <w:rPr/>
        <w:t>achieving a sustainable and just blue economy, could potentially benefit from the untapped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tourism,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(Booth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willingness to pay for conservation among non-divers or individuals engaged in other marine</w:t>
      </w:r>
      <w:r>
        <w:rPr>
          <w:spacing w:val="-52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divers</w:t>
      </w:r>
      <w:r>
        <w:rPr>
          <w:spacing w:val="-3"/>
        </w:rPr>
        <w:t> </w:t>
      </w:r>
      <w:r>
        <w:rPr/>
        <w:t>visiting</w:t>
      </w:r>
      <w:r>
        <w:rPr>
          <w:spacing w:val="-2"/>
        </w:rPr>
        <w:t> </w:t>
      </w:r>
      <w:r>
        <w:rPr/>
        <w:t>Malaysia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factors.</w:t>
      </w:r>
    </w:p>
    <w:p>
      <w:pPr>
        <w:spacing w:after="0" w:line="276" w:lineRule="auto"/>
        <w:jc w:val="both"/>
        <w:sectPr>
          <w:pgSz w:w="11920" w:h="16840"/>
          <w:pgMar w:header="0" w:footer="799" w:top="1420" w:bottom="980" w:left="1340" w:right="1340"/>
        </w:sectPr>
      </w:pPr>
    </w:p>
    <w:p>
      <w:pPr>
        <w:pStyle w:val="Heading1"/>
        <w:spacing w:before="24"/>
      </w:pPr>
      <w:r>
        <w:rPr/>
        <w:pict>
          <v:shape style="position:absolute;margin-left:50.430275pt;margin-top:361.051361pt;width:497.3pt;height:122.65pt;mso-position-horizontal-relative:page;mso-position-vertical-relative:page;z-index:-15969792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>
          <w:shd w:fill="FF9900" w:color="auto" w:val="clear"/>
        </w:rPr>
        <w:t>REFERENCES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820" w:right="112" w:hanging="720"/>
        <w:jc w:val="both"/>
      </w:pPr>
      <w:r>
        <w:rPr/>
        <w:t>Allkins,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E., Tshipala, N. N., &amp; Hermann, U. P. (2021). Scuba divers’ attitudes towards</w:t>
      </w:r>
      <w:r>
        <w:rPr>
          <w:spacing w:val="1"/>
        </w:rPr>
        <w:t> </w:t>
      </w:r>
      <w:r>
        <w:rPr/>
        <w:t>responsible behaviour and profile. African Journal for Physical Activity and Health</w:t>
      </w:r>
      <w:r>
        <w:rPr>
          <w:spacing w:val="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(AJPHES),</w:t>
      </w:r>
      <w:r>
        <w:rPr>
          <w:spacing w:val="-1"/>
        </w:rPr>
        <w:t> </w:t>
      </w:r>
      <w:r>
        <w:rPr/>
        <w:t>27(1), 1–15.</w:t>
      </w:r>
      <w:r>
        <w:rPr>
          <w:spacing w:val="-1"/>
        </w:rPr>
        <w:t> </w:t>
      </w:r>
      <w:r>
        <w:rPr/>
        <w:t>https://doi.org/10.37597/ajphes.2021.27.1.1</w:t>
      </w:r>
    </w:p>
    <w:p>
      <w:pPr>
        <w:pStyle w:val="BodyText"/>
        <w:spacing w:line="276" w:lineRule="auto"/>
        <w:ind w:left="820" w:right="113" w:hanging="720"/>
        <w:jc w:val="both"/>
      </w:pPr>
      <w:r>
        <w:rPr/>
        <w:t>Booth, H., Mourato, S., &amp; Milner-Gulland, E. J. (2022). Investigating acceptance of marine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levies,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communities.</w:t>
      </w:r>
      <w:r>
        <w:rPr>
          <w:spacing w:val="-1"/>
        </w:rPr>
        <w:t> </w:t>
      </w:r>
      <w:r>
        <w:rPr/>
        <w:t>Ecological Economics, 201, 107578.</w:t>
      </w:r>
    </w:p>
    <w:p>
      <w:pPr>
        <w:pStyle w:val="BodyText"/>
        <w:spacing w:line="276" w:lineRule="auto"/>
        <w:ind w:left="820" w:right="112" w:hanging="720"/>
        <w:jc w:val="both"/>
      </w:pPr>
      <w:r>
        <w:rPr/>
        <w:t>Grafeld, S., Oleson, K., Barnes, M., Peng, M., Chan, C., &amp; Weijerman, M. (2016). Divers’</w:t>
      </w:r>
      <w:r>
        <w:rPr>
          <w:spacing w:val="1"/>
        </w:rPr>
        <w:t> </w:t>
      </w:r>
      <w:r>
        <w:rPr/>
        <w:t>willingness</w:t>
      </w:r>
      <w:r>
        <w:rPr>
          <w:spacing w:val="9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coral</w:t>
      </w:r>
      <w:r>
        <w:rPr>
          <w:spacing w:val="-5"/>
        </w:rPr>
        <w:t> </w:t>
      </w:r>
      <w:r>
        <w:rPr/>
        <w:t>reef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Guam: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untapped</w:t>
      </w:r>
      <w:r>
        <w:rPr>
          <w:spacing w:val="-5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52"/>
        </w:rPr>
        <w:t> </w:t>
      </w:r>
      <w:r>
        <w:rPr/>
        <w:t>funding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conservation?</w:t>
      </w:r>
      <w:r>
        <w:rPr>
          <w:spacing w:val="-2"/>
        </w:rPr>
        <w:t> </w:t>
      </w:r>
      <w:r>
        <w:rPr/>
        <w:t>Ecological</w:t>
      </w:r>
      <w:r>
        <w:rPr>
          <w:spacing w:val="-2"/>
        </w:rPr>
        <w:t> </w:t>
      </w:r>
      <w:r>
        <w:rPr/>
        <w:t>Economics,</w:t>
      </w:r>
      <w:r>
        <w:rPr>
          <w:spacing w:val="-2"/>
        </w:rPr>
        <w:t> </w:t>
      </w:r>
      <w:r>
        <w:rPr/>
        <w:t>128,</w:t>
      </w:r>
      <w:r>
        <w:rPr>
          <w:spacing w:val="-2"/>
        </w:rPr>
        <w:t> </w:t>
      </w:r>
      <w:r>
        <w:rPr/>
        <w:t>202–213.</w:t>
      </w:r>
    </w:p>
    <w:p>
      <w:pPr>
        <w:pStyle w:val="BodyText"/>
        <w:spacing w:line="276" w:lineRule="auto"/>
        <w:ind w:left="820" w:right="112" w:hanging="720"/>
      </w:pPr>
      <w:r>
        <w:rPr/>
        <w:t>Pepe,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Caution diver below! A case for enhanced environmental education and</w:t>
      </w:r>
      <w:r>
        <w:rPr>
          <w:spacing w:val="-52"/>
        </w:rPr>
        <w:t> </w:t>
      </w:r>
      <w:r>
        <w:rPr/>
        <w:t>policies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raise</w:t>
      </w:r>
      <w:r>
        <w:rPr>
          <w:spacing w:val="25"/>
        </w:rPr>
        <w:t> </w:t>
      </w:r>
      <w:r>
        <w:rPr/>
        <w:t>awareness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sustainable</w:t>
      </w:r>
      <w:r>
        <w:rPr>
          <w:spacing w:val="25"/>
        </w:rPr>
        <w:t> </w:t>
      </w:r>
      <w:r>
        <w:rPr/>
        <w:t>scuba</w:t>
      </w:r>
      <w:r>
        <w:rPr>
          <w:spacing w:val="26"/>
        </w:rPr>
        <w:t> </w:t>
      </w:r>
      <w:r>
        <w:rPr/>
        <w:t>diving.</w:t>
      </w:r>
      <w:r>
        <w:rPr>
          <w:spacing w:val="26"/>
        </w:rPr>
        <w:t> </w:t>
      </w:r>
      <w:r>
        <w:rPr/>
        <w:t>ProQuest</w:t>
      </w:r>
      <w:r>
        <w:rPr>
          <w:spacing w:val="12"/>
        </w:rPr>
        <w:t> </w:t>
      </w:r>
      <w:r>
        <w:rPr/>
        <w:t>Dissertations</w:t>
      </w:r>
      <w:r>
        <w:rPr>
          <w:spacing w:val="12"/>
        </w:rPr>
        <w:t> </w:t>
      </w:r>
      <w:r>
        <w:rPr/>
        <w:t>and</w:t>
      </w:r>
      <w:r>
        <w:rPr>
          <w:spacing w:val="-52"/>
        </w:rPr>
        <w:t> </w:t>
      </w:r>
      <w:r>
        <w:rPr/>
        <w:t>Theses,68.http://ezproxy</w:t>
      </w:r>
      <w:hyperlink r:id="rId16">
        <w:r>
          <w:rPr/>
          <w:t>.msu.edu/login?url=h</w:t>
        </w:r>
      </w:hyperlink>
      <w:r>
        <w:rPr/>
        <w:t>ttp://search.pr</w:t>
      </w:r>
      <w:hyperlink r:id="rId16">
        <w:r>
          <w:rPr/>
          <w:t>oques</w:t>
        </w:r>
      </w:hyperlink>
      <w:r>
        <w:rPr/>
        <w:t>t.c</w:t>
      </w:r>
      <w:hyperlink r:id="rId16">
        <w:r>
          <w:rPr/>
          <w:t>om/docview/7</w:t>
        </w:r>
      </w:hyperlink>
      <w:r>
        <w:rPr>
          <w:spacing w:val="-52"/>
        </w:rPr>
        <w:t> </w:t>
      </w:r>
      <w:r>
        <w:rPr/>
        <w:t>56051234?accoun</w:t>
      </w:r>
      <w:hyperlink r:id="rId17">
        <w:r>
          <w:rPr/>
          <w:t>tid=12598%0Ah</w:t>
        </w:r>
      </w:hyperlink>
      <w:r>
        <w:rPr/>
        <w:t>ttp://z</w:t>
      </w:r>
      <w:hyperlink r:id="rId17">
        <w:r>
          <w:rPr/>
          <w:t>a2uf4p</w:t>
        </w:r>
      </w:hyperlink>
      <w:r>
        <w:rPr/>
        <w:t>s7f</w:t>
      </w:r>
      <w:hyperlink r:id="rId17">
        <w:r>
          <w:rPr/>
          <w:t>.search.serialssolutions.com/?ctx_</w:t>
        </w:r>
      </w:hyperlink>
      <w:r>
        <w:rPr>
          <w:spacing w:val="-52"/>
        </w:rPr>
        <w:t> </w:t>
      </w:r>
      <w:r>
        <w:rPr>
          <w:spacing w:val="-1"/>
        </w:rPr>
        <w:t>ver=Z39.88-2004&amp;ctx_enc=info:ofi/enc:UTF8&amp;rfr_id=info:sid/ProQuest+Dissertations</w:t>
      </w:r>
    </w:p>
    <w:p>
      <w:pPr>
        <w:pStyle w:val="BodyText"/>
        <w:ind w:left="820"/>
      </w:pPr>
      <w:r>
        <w:rPr/>
        <w:t>+%26+Theses+Global&amp;rft_val_</w:t>
      </w:r>
    </w:p>
    <w:p>
      <w:pPr>
        <w:pStyle w:val="BodyText"/>
        <w:spacing w:line="276" w:lineRule="auto" w:before="44"/>
        <w:ind w:left="820" w:right="118" w:hanging="720"/>
        <w:jc w:val="both"/>
      </w:pPr>
      <w:r>
        <w:rPr/>
        <w:t>Schuhmann, P.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Skeete,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Waite,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Lorde,</w:t>
      </w:r>
      <w:r>
        <w:rPr>
          <w:spacing w:val="1"/>
        </w:rPr>
        <w:t> </w:t>
      </w:r>
      <w:r>
        <w:rPr/>
        <w:t>T.,</w:t>
      </w:r>
      <w:r>
        <w:rPr>
          <w:spacing w:val="-11"/>
        </w:rPr>
        <w:t> </w:t>
      </w:r>
      <w:r>
        <w:rPr/>
        <w:t>Bangwayo-Skeete,</w:t>
      </w:r>
      <w:r>
        <w:rPr>
          <w:spacing w:val="-11"/>
        </w:rPr>
        <w:t> </w:t>
      </w:r>
      <w:r>
        <w:rPr/>
        <w:t>P.,</w:t>
      </w:r>
      <w:r>
        <w:rPr>
          <w:spacing w:val="-11"/>
        </w:rPr>
        <w:t> </w:t>
      </w:r>
      <w:r>
        <w:rPr/>
        <w:t>Oxenford,</w:t>
      </w:r>
      <w:r>
        <w:rPr>
          <w:spacing w:val="-11"/>
        </w:rPr>
        <w:t> </w:t>
      </w:r>
      <w:r>
        <w:rPr/>
        <w:t>H.</w:t>
      </w:r>
      <w:r>
        <w:rPr>
          <w:spacing w:val="-11"/>
        </w:rPr>
        <w:t> </w:t>
      </w:r>
      <w:r>
        <w:rPr/>
        <w:t>A.,</w:t>
      </w:r>
      <w:r>
        <w:rPr>
          <w:spacing w:val="-12"/>
        </w:rPr>
        <w:t> </w:t>
      </w:r>
      <w:r>
        <w:rPr/>
        <w:t>Gill,</w:t>
      </w:r>
      <w:r>
        <w:rPr>
          <w:spacing w:val="-51"/>
        </w:rPr>
        <w:t> </w:t>
      </w:r>
      <w:r>
        <w:rPr/>
        <w:t>D., Moore, W., &amp; Spencer, F. (2019). Visitors’ willingness to pay marine conservation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Barbados.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71(October</w:t>
      </w:r>
      <w:r>
        <w:rPr>
          <w:spacing w:val="1"/>
        </w:rPr>
        <w:t> </w:t>
      </w:r>
      <w:r>
        <w:rPr/>
        <w:t>2018),</w:t>
      </w:r>
      <w:r>
        <w:rPr>
          <w:spacing w:val="1"/>
        </w:rPr>
        <w:t> </w:t>
      </w:r>
      <w:r>
        <w:rPr/>
        <w:t>315–326.</w:t>
      </w:r>
      <w:r>
        <w:rPr>
          <w:spacing w:val="-52"/>
        </w:rPr>
        <w:t> </w:t>
      </w:r>
      <w:r>
        <w:rPr/>
        <w:t>https://doi.org/10.1016/j.tourman.2018.10.011</w:t>
      </w:r>
    </w:p>
    <w:p>
      <w:pPr>
        <w:pStyle w:val="BodyText"/>
        <w:spacing w:line="276" w:lineRule="auto"/>
        <w:ind w:left="820" w:right="119" w:hanging="720"/>
        <w:jc w:val="both"/>
      </w:pPr>
      <w:r>
        <w:rPr/>
        <w:t>Tabachnick, B. G., &amp; Fidell, L. S. (2007). Using Multivariate Statistics. In PsycCRITIQUES (5th</w:t>
      </w:r>
      <w:r>
        <w:rPr>
          <w:spacing w:val="1"/>
        </w:rPr>
        <w:t> </w:t>
      </w:r>
      <w:r>
        <w:rPr/>
        <w:t>ed.,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28,</w:t>
      </w:r>
      <w:r>
        <w:rPr>
          <w:spacing w:val="-2"/>
        </w:rPr>
        <w:t> </w:t>
      </w:r>
      <w:r>
        <w:rPr/>
        <w:t>Issue</w:t>
      </w:r>
      <w:r>
        <w:rPr>
          <w:spacing w:val="-1"/>
        </w:rPr>
        <w:t> </w:t>
      </w:r>
      <w:r>
        <w:rPr/>
        <w:t>8).</w:t>
      </w:r>
      <w:r>
        <w:rPr>
          <w:spacing w:val="-2"/>
        </w:rPr>
        <w:t> </w:t>
      </w:r>
      <w:r>
        <w:rPr/>
        <w:t>Pearson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Inc.</w:t>
      </w:r>
      <w:r>
        <w:rPr>
          <w:spacing w:val="-1"/>
        </w:rPr>
        <w:t> </w:t>
      </w:r>
      <w:r>
        <w:rPr/>
        <w:t>https://doi.org/10.1037/022267</w:t>
      </w:r>
    </w:p>
    <w:p>
      <w:pPr>
        <w:pStyle w:val="BodyText"/>
        <w:spacing w:line="276" w:lineRule="auto"/>
        <w:ind w:left="820" w:right="115" w:hanging="720"/>
        <w:jc w:val="both"/>
      </w:pPr>
      <w:r>
        <w:rPr/>
        <w:t>Thapa,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Graefe,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Meyer,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environmental behaviors among SCUBA divers. Journal of Leisure Research, 38(4),</w:t>
      </w:r>
      <w:r>
        <w:rPr>
          <w:spacing w:val="1"/>
        </w:rPr>
        <w:t> </w:t>
      </w:r>
      <w:r>
        <w:rPr/>
        <w:t>601–615.</w:t>
      </w:r>
    </w:p>
    <w:p>
      <w:pPr>
        <w:pStyle w:val="BodyText"/>
        <w:spacing w:line="276" w:lineRule="auto"/>
        <w:ind w:left="820" w:right="118" w:hanging="720"/>
        <w:jc w:val="both"/>
      </w:pPr>
      <w:r>
        <w:rPr/>
        <w:t>Trujillo, J. C., Carrillo, B., Charris, C. A., &amp; Velilla, R. A. (2016). Coral reefs under threat in a</w:t>
      </w:r>
      <w:r>
        <w:rPr>
          <w:spacing w:val="1"/>
        </w:rPr>
        <w:t> </w:t>
      </w:r>
      <w:r>
        <w:rPr/>
        <w:t>Caribbean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area: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divers’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conservation.</w:t>
      </w:r>
      <w:r>
        <w:rPr>
          <w:spacing w:val="-1"/>
        </w:rPr>
        <w:t> </w:t>
      </w:r>
      <w:r>
        <w:rPr/>
        <w:t>Marine Policy,</w:t>
      </w:r>
      <w:r>
        <w:rPr>
          <w:spacing w:val="-1"/>
        </w:rPr>
        <w:t> </w:t>
      </w:r>
      <w:r>
        <w:rPr/>
        <w:t>68, 146–154.</w:t>
      </w:r>
    </w:p>
    <w:sectPr>
      <w:pgSz w:w="11920" w:h="16840"/>
      <w:pgMar w:header="0" w:footer="799" w:top="1420" w:bottom="9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81116pt;margin-top:791.063599pt;width:8.15pt;height:14.3pt;mso-position-horizontal-relative:page;mso-position-vertical-relative:page;z-index:-15975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81116pt;margin-top:791.063477pt;width:12.15pt;height:14.3pt;mso-position-horizontal-relative:page;mso-position-vertical-relative:page;z-index:-1597542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81116pt;margin-top:791.063477pt;width:12.15pt;height:14.3pt;mso-position-horizontal-relative:page;mso-position-vertical-relative:page;z-index:-159749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81116pt;margin-top:791.063477pt;width:12.15pt;height:14.3pt;mso-position-horizontal-relative:page;mso-position-vertical-relative:page;z-index:-159744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namapengarangpertama@aaaa.bbb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alistapart.com/articles/writeliving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yperlink" Target="mailto:aliabdlim@uni.edu.my" TargetMode="Externa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2.png"/><Relationship Id="rId15" Type="http://schemas.openxmlformats.org/officeDocument/2006/relationships/image" Target="media/image3.jpeg"/><Relationship Id="rId16" Type="http://schemas.openxmlformats.org/officeDocument/2006/relationships/hyperlink" Target="http://search.proquest.com/docview/7" TargetMode="External"/><Relationship Id="rId17" Type="http://schemas.openxmlformats.org/officeDocument/2006/relationships/hyperlink" Target="http://za2uf4ps7f.search.serialssolutions.com/?ctx_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2023-06-01T05:46:49Z</dcterms:created>
  <dcterms:modified xsi:type="dcterms:W3CDTF">2023-06-01T05:46:49Z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